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172A" w14:textId="2EC5CE7F" w:rsidR="00006D66" w:rsidRPr="00006D66" w:rsidRDefault="00F14233" w:rsidP="00006D66">
      <w:pPr>
        <w:jc w:val="center"/>
        <w:rPr>
          <w:rStyle w:val="nfakpe"/>
        </w:rPr>
      </w:pPr>
      <w:r>
        <w:rPr>
          <w:noProof/>
        </w:rPr>
        <w:drawing>
          <wp:inline distT="0" distB="0" distL="0" distR="0" wp14:anchorId="011DF8F9" wp14:editId="71F76B49">
            <wp:extent cx="21590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_full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0" cy="800100"/>
                    </a:xfrm>
                    <a:prstGeom prst="rect">
                      <a:avLst/>
                    </a:prstGeom>
                  </pic:spPr>
                </pic:pic>
              </a:graphicData>
            </a:graphic>
          </wp:inline>
        </w:drawing>
      </w:r>
    </w:p>
    <w:p w14:paraId="7A08723B" w14:textId="57ED77F0" w:rsidR="00006D66" w:rsidRPr="00F72C15" w:rsidRDefault="00006D66" w:rsidP="00006D66">
      <w:pPr>
        <w:spacing w:after="0" w:line="240" w:lineRule="auto"/>
        <w:jc w:val="center"/>
        <w:rPr>
          <w:rStyle w:val="nfakpe"/>
          <w:rFonts w:ascii="Cambria" w:hAnsi="Cambria"/>
          <w:i/>
          <w:sz w:val="24"/>
          <w:szCs w:val="24"/>
        </w:rPr>
      </w:pPr>
      <w:r w:rsidRPr="00F72C15">
        <w:rPr>
          <w:rStyle w:val="nfakpe"/>
          <w:rFonts w:ascii="Cambria" w:hAnsi="Cambria"/>
          <w:i/>
          <w:sz w:val="24"/>
          <w:szCs w:val="24"/>
        </w:rPr>
        <w:t xml:space="preserve">CALL FOR </w:t>
      </w:r>
      <w:r w:rsidR="00DE4854">
        <w:rPr>
          <w:rStyle w:val="nfakpe"/>
          <w:rFonts w:ascii="Cambria" w:hAnsi="Cambria"/>
          <w:i/>
          <w:sz w:val="24"/>
          <w:szCs w:val="24"/>
        </w:rPr>
        <w:t>BOOK CHAPTERS</w:t>
      </w:r>
    </w:p>
    <w:p w14:paraId="7388EB54" w14:textId="77777777" w:rsidR="00006D66" w:rsidRPr="00F72C15" w:rsidRDefault="00006D66" w:rsidP="00006D66">
      <w:pPr>
        <w:spacing w:after="0" w:line="240" w:lineRule="auto"/>
        <w:jc w:val="center"/>
        <w:rPr>
          <w:rFonts w:ascii="Cambria" w:hAnsi="Cambria" w:cs="Arial"/>
          <w:b/>
          <w:sz w:val="24"/>
          <w:szCs w:val="24"/>
        </w:rPr>
      </w:pPr>
    </w:p>
    <w:p w14:paraId="311333B3" w14:textId="657321AB" w:rsidR="00006D66" w:rsidRPr="00F72C15" w:rsidRDefault="005862B1" w:rsidP="00006D66">
      <w:pPr>
        <w:spacing w:after="0" w:line="240" w:lineRule="auto"/>
        <w:jc w:val="center"/>
        <w:rPr>
          <w:rFonts w:ascii="Cambria" w:hAnsi="Cambria" w:cs="Arial"/>
          <w:b/>
          <w:sz w:val="36"/>
          <w:szCs w:val="36"/>
        </w:rPr>
      </w:pPr>
      <w:r w:rsidRPr="00F72C15">
        <w:rPr>
          <w:rFonts w:ascii="Cambria" w:hAnsi="Cambria" w:cs="Arial"/>
          <w:b/>
          <w:sz w:val="36"/>
          <w:szCs w:val="36"/>
        </w:rPr>
        <w:t>MOBILE GLOBAL TALENT</w:t>
      </w:r>
      <w:r w:rsidR="003B72CF" w:rsidRPr="00F72C15">
        <w:rPr>
          <w:rFonts w:ascii="Cambria" w:hAnsi="Cambria" w:cs="Arial"/>
          <w:b/>
          <w:sz w:val="36"/>
          <w:szCs w:val="36"/>
        </w:rPr>
        <w:t xml:space="preserve"> MANAGEMENT DURING </w:t>
      </w:r>
      <w:r w:rsidR="00891CF7" w:rsidRPr="00F72C15">
        <w:rPr>
          <w:rFonts w:ascii="Cambria" w:hAnsi="Cambria" w:cs="Arial"/>
          <w:b/>
          <w:sz w:val="36"/>
          <w:szCs w:val="36"/>
        </w:rPr>
        <w:t xml:space="preserve">TIMES OF </w:t>
      </w:r>
      <w:r w:rsidR="0049048B" w:rsidRPr="00F72C15">
        <w:rPr>
          <w:rFonts w:ascii="Cambria" w:hAnsi="Cambria" w:cs="Arial"/>
          <w:b/>
          <w:sz w:val="36"/>
          <w:szCs w:val="36"/>
        </w:rPr>
        <w:t>UNCERTAINTY</w:t>
      </w:r>
    </w:p>
    <w:p w14:paraId="3CA22E38" w14:textId="0239A8E7" w:rsidR="001C02FA" w:rsidRDefault="0042568F" w:rsidP="00C9691C">
      <w:pPr>
        <w:spacing w:after="0" w:line="240" w:lineRule="auto"/>
        <w:jc w:val="center"/>
        <w:rPr>
          <w:rFonts w:cstheme="minorHAnsi"/>
          <w:i/>
          <w:sz w:val="28"/>
          <w:szCs w:val="24"/>
        </w:rPr>
      </w:pPr>
      <w:r>
        <w:rPr>
          <w:rFonts w:cstheme="minorHAnsi"/>
          <w:i/>
          <w:sz w:val="28"/>
          <w:szCs w:val="24"/>
        </w:rPr>
        <w:t>Talent Management</w:t>
      </w:r>
      <w:r w:rsidR="00BD1808">
        <w:rPr>
          <w:rFonts w:cstheme="minorHAnsi"/>
          <w:i/>
          <w:sz w:val="28"/>
          <w:szCs w:val="24"/>
        </w:rPr>
        <w:t xml:space="preserve"> Series </w:t>
      </w:r>
    </w:p>
    <w:p w14:paraId="1D01FFF6" w14:textId="0EA7C0F6" w:rsidR="00006D66" w:rsidRPr="00805815" w:rsidRDefault="001C02FA" w:rsidP="00C9691C">
      <w:pPr>
        <w:spacing w:after="0" w:line="240" w:lineRule="auto"/>
        <w:jc w:val="center"/>
        <w:rPr>
          <w:rFonts w:cstheme="minorHAnsi"/>
          <w:sz w:val="28"/>
          <w:szCs w:val="24"/>
        </w:rPr>
      </w:pPr>
      <w:r>
        <w:rPr>
          <w:rFonts w:cstheme="minorHAnsi"/>
          <w:i/>
          <w:sz w:val="28"/>
          <w:szCs w:val="24"/>
        </w:rPr>
        <w:t xml:space="preserve">Book Series Editors: </w:t>
      </w:r>
      <w:r w:rsidR="003B3C6B">
        <w:rPr>
          <w:rFonts w:cstheme="minorHAnsi"/>
          <w:i/>
          <w:sz w:val="28"/>
          <w:szCs w:val="24"/>
        </w:rPr>
        <w:t>Vlad Vaiman &amp;</w:t>
      </w:r>
      <w:r w:rsidR="00D54DC8">
        <w:rPr>
          <w:rFonts w:cstheme="minorHAnsi"/>
          <w:i/>
          <w:sz w:val="28"/>
          <w:szCs w:val="24"/>
        </w:rPr>
        <w:t xml:space="preserve"> </w:t>
      </w:r>
      <w:r>
        <w:rPr>
          <w:rFonts w:cstheme="minorHAnsi"/>
          <w:i/>
          <w:sz w:val="28"/>
          <w:szCs w:val="24"/>
        </w:rPr>
        <w:t xml:space="preserve">David </w:t>
      </w:r>
      <w:r w:rsidR="00BD1808">
        <w:rPr>
          <w:rFonts w:cstheme="minorHAnsi"/>
          <w:i/>
          <w:sz w:val="28"/>
          <w:szCs w:val="24"/>
        </w:rPr>
        <w:t>Collings</w:t>
      </w:r>
      <w:r w:rsidR="00006D66" w:rsidRPr="00805815">
        <w:rPr>
          <w:rFonts w:cstheme="minorHAnsi"/>
          <w:sz w:val="28"/>
          <w:szCs w:val="24"/>
        </w:rPr>
        <w:br/>
      </w:r>
    </w:p>
    <w:p w14:paraId="70C54F57" w14:textId="3279552F" w:rsidR="00006D66" w:rsidRPr="00805815" w:rsidRDefault="001955A0" w:rsidP="00006D66">
      <w:pPr>
        <w:spacing w:after="0" w:line="240" w:lineRule="auto"/>
        <w:jc w:val="center"/>
        <w:rPr>
          <w:rFonts w:cstheme="minorHAnsi"/>
          <w:b/>
          <w:sz w:val="24"/>
          <w:szCs w:val="24"/>
        </w:rPr>
      </w:pPr>
      <w:r>
        <w:rPr>
          <w:rFonts w:cstheme="minorHAnsi"/>
          <w:b/>
          <w:sz w:val="24"/>
          <w:szCs w:val="24"/>
        </w:rPr>
        <w:t>Chapter</w:t>
      </w:r>
      <w:r w:rsidR="00C9691C" w:rsidRPr="00805815">
        <w:rPr>
          <w:rFonts w:cstheme="minorHAnsi"/>
          <w:b/>
          <w:sz w:val="24"/>
          <w:szCs w:val="24"/>
        </w:rPr>
        <w:t xml:space="preserve">s Due: </w:t>
      </w:r>
      <w:r w:rsidR="00AF7EE5">
        <w:rPr>
          <w:rFonts w:cstheme="minorHAnsi"/>
          <w:b/>
          <w:sz w:val="24"/>
          <w:szCs w:val="24"/>
        </w:rPr>
        <w:t>September 30, 2021</w:t>
      </w:r>
      <w:r w:rsidR="00006D66" w:rsidRPr="00805815">
        <w:rPr>
          <w:rFonts w:cstheme="minorHAnsi"/>
          <w:b/>
          <w:sz w:val="24"/>
          <w:szCs w:val="24"/>
        </w:rPr>
        <w:t xml:space="preserve">  </w:t>
      </w:r>
    </w:p>
    <w:p w14:paraId="1ECCBAC2" w14:textId="77777777" w:rsidR="00AA613B" w:rsidRDefault="00AA613B" w:rsidP="0042568F">
      <w:pPr>
        <w:spacing w:after="0" w:line="240" w:lineRule="auto"/>
        <w:jc w:val="center"/>
        <w:rPr>
          <w:rFonts w:cstheme="minorHAnsi"/>
          <w:sz w:val="24"/>
          <w:szCs w:val="24"/>
        </w:rPr>
      </w:pPr>
    </w:p>
    <w:p w14:paraId="5C81A7AD" w14:textId="77277F67" w:rsidR="00006D66" w:rsidRPr="00805815" w:rsidRDefault="00006D66" w:rsidP="00AA613B">
      <w:pPr>
        <w:spacing w:after="0" w:line="240" w:lineRule="auto"/>
        <w:jc w:val="center"/>
        <w:rPr>
          <w:rFonts w:cstheme="minorHAnsi"/>
          <w:sz w:val="24"/>
          <w:szCs w:val="24"/>
        </w:rPr>
      </w:pPr>
      <w:r w:rsidRPr="00805815">
        <w:rPr>
          <w:rFonts w:cstheme="minorHAnsi"/>
          <w:sz w:val="24"/>
          <w:szCs w:val="24"/>
        </w:rPr>
        <w:t xml:space="preserve">Editors: </w:t>
      </w:r>
      <w:r w:rsidR="00AA613B" w:rsidRPr="00AA613B">
        <w:rPr>
          <w:rFonts w:cstheme="minorHAnsi"/>
          <w:b/>
          <w:sz w:val="24"/>
          <w:szCs w:val="24"/>
        </w:rPr>
        <w:t>Dr.</w:t>
      </w:r>
      <w:r w:rsidR="00AA613B">
        <w:rPr>
          <w:rFonts w:cstheme="minorHAnsi"/>
          <w:sz w:val="24"/>
          <w:szCs w:val="24"/>
        </w:rPr>
        <w:t xml:space="preserve"> </w:t>
      </w:r>
      <w:r w:rsidR="0042568F">
        <w:rPr>
          <w:rFonts w:cstheme="minorHAnsi"/>
          <w:b/>
          <w:sz w:val="24"/>
          <w:szCs w:val="24"/>
        </w:rPr>
        <w:t>Francine Schlosser</w:t>
      </w:r>
      <w:r w:rsidRPr="00805815">
        <w:rPr>
          <w:rFonts w:cstheme="minorHAnsi"/>
          <w:sz w:val="24"/>
          <w:szCs w:val="24"/>
        </w:rPr>
        <w:t xml:space="preserve">, </w:t>
      </w:r>
      <w:r w:rsidR="0042568F">
        <w:rPr>
          <w:rFonts w:cstheme="minorHAnsi"/>
          <w:i/>
          <w:sz w:val="24"/>
          <w:szCs w:val="24"/>
        </w:rPr>
        <w:t>University of Windsor</w:t>
      </w:r>
      <w:r w:rsidR="00AA613B">
        <w:rPr>
          <w:rFonts w:cstheme="minorHAnsi"/>
          <w:i/>
          <w:sz w:val="24"/>
          <w:szCs w:val="24"/>
        </w:rPr>
        <w:t xml:space="preserve">; </w:t>
      </w:r>
      <w:r w:rsidR="00AA613B">
        <w:rPr>
          <w:rFonts w:cstheme="minorHAnsi"/>
          <w:b/>
          <w:sz w:val="24"/>
          <w:szCs w:val="24"/>
        </w:rPr>
        <w:t xml:space="preserve">Dr. </w:t>
      </w:r>
      <w:r w:rsidR="0042568F">
        <w:rPr>
          <w:rFonts w:cstheme="minorHAnsi"/>
          <w:b/>
          <w:sz w:val="24"/>
          <w:szCs w:val="24"/>
        </w:rPr>
        <w:t>Deborah McPhee</w:t>
      </w:r>
      <w:r w:rsidRPr="00805815">
        <w:rPr>
          <w:rFonts w:cstheme="minorHAnsi"/>
          <w:sz w:val="24"/>
          <w:szCs w:val="24"/>
        </w:rPr>
        <w:t xml:space="preserve">, </w:t>
      </w:r>
      <w:r w:rsidR="0042568F" w:rsidRPr="00F72C15">
        <w:rPr>
          <w:rFonts w:cstheme="minorHAnsi"/>
          <w:i/>
          <w:sz w:val="24"/>
          <w:szCs w:val="24"/>
        </w:rPr>
        <w:t>Brock</w:t>
      </w:r>
      <w:r w:rsidR="00AA613B">
        <w:rPr>
          <w:rFonts w:cstheme="minorHAnsi"/>
          <w:i/>
          <w:sz w:val="24"/>
          <w:szCs w:val="24"/>
        </w:rPr>
        <w:t xml:space="preserve"> </w:t>
      </w:r>
      <w:r w:rsidR="0042568F" w:rsidRPr="00F72C15">
        <w:rPr>
          <w:rFonts w:cstheme="minorHAnsi"/>
          <w:i/>
          <w:sz w:val="24"/>
          <w:szCs w:val="24"/>
        </w:rPr>
        <w:t>University</w:t>
      </w:r>
    </w:p>
    <w:p w14:paraId="7646262A" w14:textId="0FC3C11F" w:rsidR="00006D66" w:rsidRPr="00805815" w:rsidRDefault="00006D66" w:rsidP="00006D66">
      <w:pPr>
        <w:spacing w:after="0" w:line="240" w:lineRule="auto"/>
        <w:rPr>
          <w:rFonts w:eastAsia="Times New Roman" w:cstheme="minorHAnsi"/>
          <w:sz w:val="24"/>
          <w:szCs w:val="24"/>
        </w:rPr>
      </w:pPr>
    </w:p>
    <w:p w14:paraId="1DC55BA7" w14:textId="5D050FBB" w:rsidR="003647A8" w:rsidRPr="003647A8" w:rsidRDefault="003647A8" w:rsidP="006D5EE8">
      <w:pPr>
        <w:widowControl w:val="0"/>
        <w:autoSpaceDE w:val="0"/>
        <w:autoSpaceDN w:val="0"/>
        <w:adjustRightInd w:val="0"/>
        <w:jc w:val="both"/>
        <w:rPr>
          <w:rFonts w:ascii="Calibri" w:hAnsi="Calibri" w:cs="Calibri"/>
          <w:color w:val="000000"/>
          <w:sz w:val="24"/>
          <w:szCs w:val="24"/>
          <w:lang w:val="en-CA"/>
        </w:rPr>
      </w:pPr>
      <w:r w:rsidRPr="003647A8">
        <w:rPr>
          <w:rFonts w:cstheme="minorHAnsi"/>
          <w:color w:val="000000"/>
          <w:sz w:val="24"/>
          <w:szCs w:val="24"/>
          <w:lang w:val="en-CA"/>
        </w:rPr>
        <w:t xml:space="preserve">There is a growing realization that an interconnected world must come to terms with great uncertainty. </w:t>
      </w:r>
      <w:r w:rsidRPr="003647A8">
        <w:rPr>
          <w:rFonts w:ascii="Calibri" w:hAnsi="Calibri" w:cs="Calibri"/>
          <w:color w:val="000000"/>
          <w:sz w:val="24"/>
          <w:szCs w:val="24"/>
          <w:lang w:val="en-CA"/>
        </w:rPr>
        <w:t>Global uncertainty has been exacerbated by the emergence of two global phenomena</w:t>
      </w:r>
      <w:r w:rsidR="00973A18">
        <w:rPr>
          <w:rFonts w:ascii="Calibri" w:hAnsi="Calibri" w:cs="Calibri"/>
          <w:color w:val="000000"/>
          <w:sz w:val="24"/>
          <w:szCs w:val="24"/>
          <w:lang w:val="en-CA"/>
        </w:rPr>
        <w:t xml:space="preserve"> - </w:t>
      </w:r>
      <w:r w:rsidRPr="003647A8">
        <w:rPr>
          <w:rFonts w:ascii="Calibri" w:hAnsi="Calibri" w:cs="Calibri"/>
          <w:color w:val="000000"/>
          <w:sz w:val="24"/>
          <w:szCs w:val="24"/>
          <w:lang w:val="en-CA"/>
        </w:rPr>
        <w:t>the resurgence of nationalism and populism (socio-political) and the once-in-a-century C</w:t>
      </w:r>
      <w:r w:rsidR="007C663A">
        <w:rPr>
          <w:rFonts w:ascii="Calibri" w:hAnsi="Calibri" w:cs="Calibri"/>
          <w:color w:val="000000"/>
          <w:sz w:val="24"/>
          <w:szCs w:val="24"/>
          <w:lang w:val="en-CA"/>
        </w:rPr>
        <w:t>OVID</w:t>
      </w:r>
      <w:r w:rsidRPr="003647A8">
        <w:rPr>
          <w:rFonts w:ascii="Calibri" w:hAnsi="Calibri" w:cs="Calibri"/>
          <w:color w:val="000000"/>
          <w:sz w:val="24"/>
          <w:szCs w:val="24"/>
          <w:lang w:val="en-CA"/>
        </w:rPr>
        <w:t xml:space="preserve">–19 pandemic (socio-economic). The ripple effects of these phenomena will be </w:t>
      </w:r>
      <w:r w:rsidR="003F5D54">
        <w:rPr>
          <w:rFonts w:ascii="Calibri" w:hAnsi="Calibri" w:cs="Calibri"/>
          <w:color w:val="000000"/>
          <w:sz w:val="24"/>
          <w:szCs w:val="24"/>
          <w:lang w:val="en-CA"/>
        </w:rPr>
        <w:t>long-lasting</w:t>
      </w:r>
      <w:r w:rsidRPr="003647A8">
        <w:rPr>
          <w:rFonts w:ascii="Calibri" w:hAnsi="Calibri" w:cs="Calibri"/>
          <w:color w:val="000000"/>
          <w:sz w:val="24"/>
          <w:szCs w:val="24"/>
          <w:lang w:val="en-CA"/>
        </w:rPr>
        <w:t xml:space="preserve">, with great relevance to how organizations </w:t>
      </w:r>
      <w:r w:rsidR="003F5D54">
        <w:rPr>
          <w:rFonts w:ascii="Calibri" w:hAnsi="Calibri" w:cs="Calibri"/>
          <w:color w:val="000000"/>
          <w:sz w:val="24"/>
          <w:szCs w:val="24"/>
          <w:lang w:val="en-CA"/>
        </w:rPr>
        <w:t>manage</w:t>
      </w:r>
      <w:r w:rsidRPr="003647A8">
        <w:rPr>
          <w:rFonts w:ascii="Calibri" w:hAnsi="Calibri" w:cs="Calibri"/>
          <w:color w:val="000000"/>
          <w:sz w:val="24"/>
          <w:szCs w:val="24"/>
          <w:lang w:val="en-CA"/>
        </w:rPr>
        <w:t xml:space="preserve"> talent.   IHRM must understand and manage the dynamic nature of work and ensuing changing employee expectations.</w:t>
      </w:r>
    </w:p>
    <w:p w14:paraId="4EDBFD97" w14:textId="5F74BEA4" w:rsidR="007B43B0" w:rsidRDefault="00861F2A" w:rsidP="006D5EE8">
      <w:pPr>
        <w:widowControl w:val="0"/>
        <w:autoSpaceDE w:val="0"/>
        <w:autoSpaceDN w:val="0"/>
        <w:adjustRightInd w:val="0"/>
        <w:jc w:val="both"/>
        <w:rPr>
          <w:rFonts w:cstheme="minorHAnsi"/>
          <w:color w:val="000000"/>
          <w:sz w:val="24"/>
          <w:szCs w:val="24"/>
          <w:lang w:val="en-CA"/>
        </w:rPr>
      </w:pPr>
      <w:r w:rsidRPr="003647A8">
        <w:rPr>
          <w:rFonts w:cstheme="minorHAnsi"/>
          <w:color w:val="000000"/>
          <w:sz w:val="24"/>
          <w:szCs w:val="24"/>
          <w:lang w:val="en"/>
        </w:rPr>
        <w:t xml:space="preserve">In the past decade, global talent management (GTM) has emerged as a central theme in International Human Resource Management (IHRM) research (Collings &amp; Isichei, 2018).  Much of the literature has focused on micro or macro level drivers of GTM systems (Collings, Mellahi &amp; Cascio, 2018). Accordingly, IHRM is influenced by its macro and micro-level contextual drivers, including significant socio-political and socio-economic changes and crises related to economy and national culture </w:t>
      </w:r>
      <w:r w:rsidRPr="003647A8">
        <w:rPr>
          <w:rFonts w:cstheme="minorHAnsi"/>
          <w:color w:val="000000"/>
          <w:sz w:val="24"/>
          <w:szCs w:val="24"/>
          <w:lang w:val="en-CA"/>
        </w:rPr>
        <w:t xml:space="preserve">(e.g., </w:t>
      </w:r>
      <w:proofErr w:type="gramStart"/>
      <w:r w:rsidRPr="003647A8">
        <w:rPr>
          <w:rFonts w:cstheme="minorHAnsi"/>
          <w:color w:val="000000"/>
          <w:sz w:val="24"/>
          <w:szCs w:val="24"/>
          <w:lang w:val="en-CA"/>
        </w:rPr>
        <w:t>Vaiman,  Sparrow</w:t>
      </w:r>
      <w:proofErr w:type="gramEnd"/>
      <w:r w:rsidRPr="003647A8">
        <w:rPr>
          <w:rFonts w:cstheme="minorHAnsi"/>
          <w:color w:val="000000"/>
          <w:sz w:val="24"/>
          <w:szCs w:val="24"/>
          <w:lang w:val="en-CA"/>
        </w:rPr>
        <w:t>,  Schuler, </w:t>
      </w:r>
      <w:r w:rsidRPr="00E657DA">
        <w:rPr>
          <w:rFonts w:cstheme="minorHAnsi"/>
          <w:sz w:val="24"/>
          <w:szCs w:val="24"/>
          <w:lang w:val="en-CA"/>
        </w:rPr>
        <w:t xml:space="preserve">&amp; </w:t>
      </w:r>
      <w:r w:rsidR="00E657DA" w:rsidRPr="00E657DA">
        <w:rPr>
          <w:sz w:val="24"/>
          <w:szCs w:val="24"/>
        </w:rPr>
        <w:t>Collings,</w:t>
      </w:r>
      <w:r w:rsidRPr="003647A8">
        <w:rPr>
          <w:rFonts w:cstheme="minorHAnsi"/>
          <w:color w:val="000000"/>
          <w:sz w:val="24"/>
          <w:szCs w:val="24"/>
          <w:lang w:val="en-CA"/>
        </w:rPr>
        <w:t xml:space="preserve"> 2018) and on global uncertainty related to the recent COVID-19 pandemic.  These changes and crises develop a context of uncertainty; defined as “ambiguity about the outcomes of various actions, when the situation is unpredictable and when information is inconsistent or unavailable” (Brashers, 2001 in Herzig &amp; Jimmieson, 2006, p. 629).  </w:t>
      </w:r>
    </w:p>
    <w:p w14:paraId="68C5EE5A" w14:textId="1C2BBC21" w:rsidR="003647A8" w:rsidRPr="001955A0" w:rsidRDefault="007B43B0" w:rsidP="006D5EE8">
      <w:pPr>
        <w:widowControl w:val="0"/>
        <w:autoSpaceDE w:val="0"/>
        <w:autoSpaceDN w:val="0"/>
        <w:adjustRightInd w:val="0"/>
        <w:jc w:val="both"/>
        <w:rPr>
          <w:rFonts w:cstheme="minorHAnsi"/>
          <w:color w:val="000000"/>
          <w:sz w:val="24"/>
          <w:szCs w:val="24"/>
          <w:lang w:val="en-CA"/>
        </w:rPr>
      </w:pPr>
      <w:r>
        <w:rPr>
          <w:rFonts w:cstheme="minorHAnsi"/>
          <w:color w:val="000000"/>
          <w:sz w:val="24"/>
          <w:szCs w:val="24"/>
          <w:lang w:val="en"/>
        </w:rPr>
        <w:t>There is</w:t>
      </w:r>
      <w:r w:rsidR="00E338D5" w:rsidRPr="003647A8">
        <w:rPr>
          <w:rFonts w:cstheme="minorHAnsi"/>
          <w:color w:val="000000"/>
          <w:sz w:val="24"/>
          <w:szCs w:val="24"/>
          <w:lang w:val="en"/>
        </w:rPr>
        <w:t xml:space="preserve"> a need for research to be conducted on what GTM means within this context</w:t>
      </w:r>
      <w:r>
        <w:rPr>
          <w:rFonts w:cstheme="minorHAnsi"/>
          <w:color w:val="000000"/>
          <w:sz w:val="24"/>
          <w:szCs w:val="24"/>
          <w:lang w:val="en"/>
        </w:rPr>
        <w:t>,</w:t>
      </w:r>
      <w:r w:rsidR="00E338D5" w:rsidRPr="003647A8">
        <w:rPr>
          <w:rFonts w:cstheme="minorHAnsi"/>
          <w:color w:val="000000"/>
          <w:sz w:val="24"/>
          <w:szCs w:val="24"/>
          <w:lang w:val="en"/>
        </w:rPr>
        <w:t xml:space="preserve"> as disruptions that </w:t>
      </w:r>
      <w:r>
        <w:rPr>
          <w:rFonts w:cstheme="minorHAnsi"/>
          <w:color w:val="000000"/>
          <w:sz w:val="24"/>
          <w:szCs w:val="24"/>
          <w:lang w:val="en"/>
        </w:rPr>
        <w:t xml:space="preserve">create </w:t>
      </w:r>
      <w:r w:rsidR="00E338D5" w:rsidRPr="003647A8">
        <w:rPr>
          <w:rFonts w:cstheme="minorHAnsi"/>
          <w:color w:val="000000"/>
          <w:sz w:val="24"/>
          <w:szCs w:val="24"/>
          <w:lang w:val="en"/>
        </w:rPr>
        <w:t>uncertainty can affect efforts to recruit, select</w:t>
      </w:r>
      <w:r>
        <w:rPr>
          <w:rFonts w:cstheme="minorHAnsi"/>
          <w:color w:val="000000"/>
          <w:sz w:val="24"/>
          <w:szCs w:val="24"/>
          <w:lang w:val="en"/>
        </w:rPr>
        <w:t>,</w:t>
      </w:r>
      <w:r w:rsidR="00E338D5" w:rsidRPr="003647A8">
        <w:rPr>
          <w:rFonts w:cstheme="minorHAnsi"/>
          <w:color w:val="000000"/>
          <w:sz w:val="24"/>
          <w:szCs w:val="24"/>
          <w:lang w:val="en"/>
        </w:rPr>
        <w:t xml:space="preserve"> and maintain talent.   </w:t>
      </w:r>
      <w:r w:rsidR="00861F2A" w:rsidRPr="003647A8">
        <w:rPr>
          <w:rFonts w:cstheme="minorHAnsi"/>
          <w:color w:val="000000"/>
          <w:sz w:val="24"/>
          <w:szCs w:val="24"/>
          <w:lang w:val="en-CA"/>
        </w:rPr>
        <w:t xml:space="preserve">IHRM must reduce or manage </w:t>
      </w:r>
      <w:r w:rsidR="00E338D5" w:rsidRPr="003647A8">
        <w:rPr>
          <w:rFonts w:cstheme="minorHAnsi"/>
          <w:color w:val="000000"/>
          <w:sz w:val="24"/>
          <w:szCs w:val="24"/>
          <w:lang w:val="en-CA"/>
        </w:rPr>
        <w:t xml:space="preserve">such </w:t>
      </w:r>
      <w:r w:rsidR="00861F2A" w:rsidRPr="003647A8">
        <w:rPr>
          <w:rFonts w:cstheme="minorHAnsi"/>
          <w:color w:val="000000"/>
          <w:sz w:val="24"/>
          <w:szCs w:val="24"/>
          <w:lang w:val="en-CA"/>
        </w:rPr>
        <w:t xml:space="preserve">uncertainty that is created by an increasingly mobile global talent workforce, embodied in skilled international migrants (Crowley-Henry &amp; Al Ariss, 2018) and in emerging norms of distributed and work-from home necessitated by the COVID-19 pandemic lockdowns (Boland, De Smet, Palter, &amp; Sanghvi, 2020). </w:t>
      </w:r>
      <w:r w:rsidR="00E338D5" w:rsidRPr="003647A8">
        <w:rPr>
          <w:rFonts w:cstheme="minorHAnsi"/>
          <w:color w:val="000000"/>
          <w:sz w:val="24"/>
          <w:szCs w:val="24"/>
          <w:lang w:val="en-CA"/>
        </w:rPr>
        <w:t xml:space="preserve"> </w:t>
      </w:r>
      <w:r w:rsidR="00861F2A" w:rsidRPr="003647A8">
        <w:rPr>
          <w:rFonts w:cstheme="minorHAnsi"/>
          <w:color w:val="000000"/>
          <w:sz w:val="24"/>
          <w:szCs w:val="24"/>
          <w:lang w:val="en-CA"/>
        </w:rPr>
        <w:t xml:space="preserve">Consequently, there are opportunities for research and engagement centered on practical questions for both human resource professionals and academics in times of global economic and social uncertainty.  </w:t>
      </w:r>
    </w:p>
    <w:p w14:paraId="6FC286E8" w14:textId="5946A261" w:rsidR="00861F2A" w:rsidRPr="007B43B0" w:rsidRDefault="007B43B0" w:rsidP="006D5EE8">
      <w:pPr>
        <w:widowControl w:val="0"/>
        <w:autoSpaceDE w:val="0"/>
        <w:autoSpaceDN w:val="0"/>
        <w:adjustRightInd w:val="0"/>
        <w:jc w:val="both"/>
        <w:rPr>
          <w:rFonts w:ascii="Calibri" w:hAnsi="Calibri" w:cs="Calibri"/>
          <w:color w:val="000000"/>
          <w:sz w:val="24"/>
          <w:szCs w:val="24"/>
          <w:lang w:val="en-CA"/>
        </w:rPr>
      </w:pPr>
      <w:r>
        <w:rPr>
          <w:rFonts w:cstheme="minorHAnsi"/>
          <w:color w:val="000000"/>
          <w:sz w:val="24"/>
          <w:szCs w:val="24"/>
          <w:lang w:val="en"/>
        </w:rPr>
        <w:lastRenderedPageBreak/>
        <w:t>U</w:t>
      </w:r>
      <w:r w:rsidR="00861F2A" w:rsidRPr="003647A8">
        <w:rPr>
          <w:rFonts w:cstheme="minorHAnsi"/>
          <w:color w:val="000000"/>
          <w:sz w:val="24"/>
          <w:szCs w:val="24"/>
          <w:lang w:val="en"/>
        </w:rPr>
        <w:t xml:space="preserve">sing a macro-level lens, </w:t>
      </w:r>
      <w:r w:rsidR="003647A8" w:rsidRPr="003647A8">
        <w:rPr>
          <w:rFonts w:cstheme="minorHAnsi"/>
          <w:color w:val="000000"/>
          <w:sz w:val="24"/>
          <w:szCs w:val="24"/>
          <w:lang w:val="en"/>
        </w:rPr>
        <w:t>this book will explore</w:t>
      </w:r>
      <w:r w:rsidR="00861F2A" w:rsidRPr="003647A8">
        <w:rPr>
          <w:rFonts w:cstheme="minorHAnsi"/>
          <w:color w:val="000000"/>
          <w:sz w:val="24"/>
          <w:szCs w:val="24"/>
          <w:lang w:val="en"/>
        </w:rPr>
        <w:t xml:space="preserve"> the exogenous and endogenous challenges for GTM (Tarique &amp; Schuler, 2010) and IHRM activities that support GTM during times of crisis leading to uncertainty in many facets in the economy, and on a global scale. </w:t>
      </w:r>
      <w:r w:rsidR="003647A8" w:rsidRPr="003647A8">
        <w:rPr>
          <w:rFonts w:ascii="Calibri" w:hAnsi="Calibri" w:cs="Calibri"/>
          <w:color w:val="000000"/>
          <w:sz w:val="24"/>
          <w:szCs w:val="24"/>
          <w:lang w:val="en-CA"/>
        </w:rPr>
        <w:t xml:space="preserve">This volume examines uncertain contexts related to socio-economic and socio-political change.   The book showcases important topics that affect the opportunities and challenges facing mobile knowledge workers, as well as IHRM in managing in a global context.  We investigate how national policies, social, and economic changes influence the attraction, </w:t>
      </w:r>
      <w:proofErr w:type="gramStart"/>
      <w:r w:rsidR="003647A8" w:rsidRPr="003647A8">
        <w:rPr>
          <w:rFonts w:ascii="Calibri" w:hAnsi="Calibri" w:cs="Calibri"/>
          <w:color w:val="000000"/>
          <w:sz w:val="24"/>
          <w:szCs w:val="24"/>
          <w:lang w:val="en-CA"/>
        </w:rPr>
        <w:t>management</w:t>
      </w:r>
      <w:proofErr w:type="gramEnd"/>
      <w:r w:rsidR="003647A8" w:rsidRPr="003647A8">
        <w:rPr>
          <w:rFonts w:ascii="Calibri" w:hAnsi="Calibri" w:cs="Calibri"/>
          <w:color w:val="000000"/>
          <w:sz w:val="24"/>
          <w:szCs w:val="24"/>
          <w:lang w:val="en-CA"/>
        </w:rPr>
        <w:t xml:space="preserve"> and retention</w:t>
      </w:r>
      <w:r w:rsidR="003647A8" w:rsidRPr="003647A8">
        <w:rPr>
          <w:rStyle w:val="CommentReference"/>
          <w:rFonts w:ascii="Calibri" w:hAnsi="Calibri" w:cs="Calibri"/>
          <w:sz w:val="24"/>
          <w:szCs w:val="24"/>
        </w:rPr>
        <w:t xml:space="preserve"> </w:t>
      </w:r>
      <w:r w:rsidR="003647A8" w:rsidRPr="003647A8">
        <w:rPr>
          <w:rFonts w:ascii="Calibri" w:hAnsi="Calibri" w:cs="Calibri"/>
          <w:color w:val="000000"/>
          <w:sz w:val="24"/>
          <w:szCs w:val="24"/>
          <w:lang w:val="en-CA"/>
        </w:rPr>
        <w:t xml:space="preserve">of mobile talent, including international students, edu-immigrants, skilled migrant workers, and expatriates. </w:t>
      </w:r>
      <w:r w:rsidR="00861F2A" w:rsidRPr="003647A8">
        <w:rPr>
          <w:rFonts w:cstheme="minorHAnsi"/>
          <w:color w:val="000000"/>
          <w:sz w:val="24"/>
          <w:szCs w:val="24"/>
          <w:lang w:val="en"/>
        </w:rPr>
        <w:t xml:space="preserve">Our collection will complement other recent </w:t>
      </w:r>
      <w:r w:rsidR="00E338D5" w:rsidRPr="003647A8">
        <w:rPr>
          <w:rFonts w:cstheme="minorHAnsi"/>
          <w:color w:val="000000"/>
          <w:sz w:val="24"/>
          <w:szCs w:val="24"/>
          <w:lang w:val="en"/>
        </w:rPr>
        <w:t>publications</w:t>
      </w:r>
      <w:r w:rsidR="00861F2A" w:rsidRPr="003647A8">
        <w:rPr>
          <w:rFonts w:cstheme="minorHAnsi"/>
          <w:color w:val="000000"/>
          <w:sz w:val="24"/>
          <w:szCs w:val="24"/>
          <w:lang w:val="en"/>
        </w:rPr>
        <w:t xml:space="preserve"> considering </w:t>
      </w:r>
      <w:r w:rsidR="00861F2A" w:rsidRPr="003647A8">
        <w:rPr>
          <w:rFonts w:cstheme="minorHAnsi"/>
          <w:color w:val="000000"/>
          <w:sz w:val="24"/>
          <w:szCs w:val="24"/>
          <w:lang w:val="en-CA"/>
        </w:rPr>
        <w:t>how contextual factors affect the conceptualization, implementation</w:t>
      </w:r>
      <w:r w:rsidR="00A96B58">
        <w:rPr>
          <w:rFonts w:cstheme="minorHAnsi"/>
          <w:color w:val="000000"/>
          <w:sz w:val="24"/>
          <w:szCs w:val="24"/>
          <w:lang w:val="en-CA"/>
        </w:rPr>
        <w:t>,</w:t>
      </w:r>
      <w:r w:rsidR="00861F2A" w:rsidRPr="003647A8">
        <w:rPr>
          <w:rFonts w:cstheme="minorHAnsi"/>
          <w:color w:val="000000"/>
          <w:sz w:val="24"/>
          <w:szCs w:val="24"/>
          <w:lang w:val="en-CA"/>
        </w:rPr>
        <w:t xml:space="preserve"> and effectiveness of talent management </w:t>
      </w:r>
      <w:r w:rsidR="00861F2A" w:rsidRPr="003647A8">
        <w:rPr>
          <w:rFonts w:cstheme="minorHAnsi"/>
          <w:color w:val="000000"/>
          <w:sz w:val="24"/>
          <w:szCs w:val="24"/>
          <w:lang w:val="en"/>
        </w:rPr>
        <w:t>(</w:t>
      </w:r>
      <w:r w:rsidR="00861F2A" w:rsidRPr="003647A8">
        <w:rPr>
          <w:rFonts w:cstheme="minorHAnsi"/>
          <w:color w:val="000000"/>
          <w:sz w:val="24"/>
          <w:szCs w:val="24"/>
          <w:lang w:val="en-CA"/>
        </w:rPr>
        <w:t xml:space="preserve">Gallardo-Gallardo, Thunnissen, &amp; Scullion, 2020). We invite authors to contribute to the volume with their research in the following areas:  </w:t>
      </w:r>
    </w:p>
    <w:p w14:paraId="65D0F81B" w14:textId="77777777" w:rsidR="00861F2A" w:rsidRPr="00861F2A" w:rsidRDefault="00861F2A" w:rsidP="00861F2A">
      <w:pPr>
        <w:widowControl w:val="0"/>
        <w:autoSpaceDE w:val="0"/>
        <w:autoSpaceDN w:val="0"/>
        <w:adjustRightInd w:val="0"/>
        <w:rPr>
          <w:rFonts w:cstheme="minorHAnsi"/>
          <w:b/>
          <w:bCs/>
          <w:color w:val="000000"/>
          <w:sz w:val="24"/>
          <w:szCs w:val="24"/>
          <w:lang w:val="en"/>
        </w:rPr>
      </w:pPr>
      <w:r w:rsidRPr="00861F2A">
        <w:rPr>
          <w:rFonts w:cstheme="minorHAnsi"/>
          <w:b/>
          <w:bCs/>
          <w:color w:val="000000"/>
          <w:sz w:val="24"/>
          <w:szCs w:val="24"/>
          <w:lang w:val="en"/>
        </w:rPr>
        <w:t>PART I: GLOBAL SOCIO-POLITICAL CHANGE</w:t>
      </w:r>
    </w:p>
    <w:p w14:paraId="3D450FE9" w14:textId="4B460BFC" w:rsidR="00974AEF" w:rsidRPr="00861F2A" w:rsidRDefault="00861F2A" w:rsidP="00861F2A">
      <w:pPr>
        <w:spacing w:after="0" w:line="240" w:lineRule="auto"/>
        <w:jc w:val="both"/>
        <w:rPr>
          <w:rFonts w:cstheme="minorHAnsi"/>
          <w:color w:val="000000"/>
          <w:sz w:val="24"/>
          <w:szCs w:val="24"/>
          <w:lang w:val="en-CA"/>
        </w:rPr>
      </w:pPr>
      <w:r w:rsidRPr="00861F2A">
        <w:rPr>
          <w:rFonts w:cstheme="minorHAnsi"/>
          <w:color w:val="000000"/>
          <w:sz w:val="24"/>
          <w:szCs w:val="24"/>
          <w:lang w:val="en-CA"/>
        </w:rPr>
        <w:t>This section will explore uncertain contexts related to socio-political change.  More recent issues have arisen out of political unrest as we have seen in Hong Kong, and now in the U.S., U.K. and Europe that may have lasting effects on employment relationships.  We propose to investigate how national policies and social changes influence the attraction, management</w:t>
      </w:r>
      <w:r w:rsidR="00A96B58">
        <w:rPr>
          <w:rFonts w:cstheme="minorHAnsi"/>
          <w:color w:val="000000"/>
          <w:sz w:val="24"/>
          <w:szCs w:val="24"/>
          <w:lang w:val="en-CA"/>
        </w:rPr>
        <w:t>,</w:t>
      </w:r>
      <w:r w:rsidRPr="00861F2A">
        <w:rPr>
          <w:rFonts w:cstheme="minorHAnsi"/>
          <w:color w:val="000000"/>
          <w:sz w:val="24"/>
          <w:szCs w:val="24"/>
          <w:lang w:val="en-CA"/>
        </w:rPr>
        <w:t xml:space="preserve"> and retention of mobile talent, including international students, edu-immigrants, skilled migrant workers, and expatriates.</w:t>
      </w:r>
    </w:p>
    <w:p w14:paraId="01AC39F7" w14:textId="4738659D" w:rsidR="00861F2A" w:rsidRPr="00861F2A" w:rsidRDefault="00861F2A" w:rsidP="00861F2A">
      <w:pPr>
        <w:spacing w:after="0" w:line="240" w:lineRule="auto"/>
        <w:jc w:val="both"/>
        <w:rPr>
          <w:rFonts w:eastAsia="Times New Roman" w:cstheme="minorHAnsi"/>
          <w:sz w:val="24"/>
          <w:szCs w:val="24"/>
        </w:rPr>
      </w:pPr>
    </w:p>
    <w:p w14:paraId="55125676" w14:textId="77777777" w:rsidR="00861F2A" w:rsidRPr="00861F2A" w:rsidRDefault="00861F2A" w:rsidP="00861F2A">
      <w:pPr>
        <w:widowControl w:val="0"/>
        <w:autoSpaceDE w:val="0"/>
        <w:autoSpaceDN w:val="0"/>
        <w:adjustRightInd w:val="0"/>
        <w:rPr>
          <w:rFonts w:cstheme="minorHAnsi"/>
          <w:b/>
          <w:color w:val="000000"/>
          <w:sz w:val="24"/>
          <w:szCs w:val="24"/>
          <w:lang w:val="en-CA"/>
        </w:rPr>
      </w:pPr>
      <w:r w:rsidRPr="00861F2A">
        <w:rPr>
          <w:rFonts w:cstheme="minorHAnsi"/>
          <w:b/>
          <w:bCs/>
          <w:color w:val="000000"/>
          <w:sz w:val="24"/>
          <w:szCs w:val="24"/>
          <w:lang w:val="en-CA"/>
        </w:rPr>
        <w:t>PART II: GLOBAL SOCIO-ECONOMIC CHANGE</w:t>
      </w:r>
    </w:p>
    <w:p w14:paraId="599F0A4F" w14:textId="57FF1863" w:rsidR="00861F2A" w:rsidRPr="00F77DCC" w:rsidRDefault="00861F2A" w:rsidP="00F77DCC">
      <w:pPr>
        <w:widowControl w:val="0"/>
        <w:autoSpaceDE w:val="0"/>
        <w:autoSpaceDN w:val="0"/>
        <w:adjustRightInd w:val="0"/>
        <w:jc w:val="both"/>
        <w:rPr>
          <w:rFonts w:cstheme="minorHAnsi"/>
          <w:color w:val="000000"/>
          <w:sz w:val="24"/>
          <w:szCs w:val="24"/>
          <w:lang w:val="en-CA"/>
        </w:rPr>
      </w:pPr>
      <w:r w:rsidRPr="00861F2A">
        <w:rPr>
          <w:rFonts w:cstheme="minorHAnsi"/>
          <w:color w:val="000000"/>
          <w:sz w:val="24"/>
          <w:szCs w:val="24"/>
          <w:lang w:val="en-CA"/>
        </w:rPr>
        <w:t xml:space="preserve">This section will explore uncertain contexts related to socio-economic change, especially how the COVID 19 Pandemic has affected global talent management.  For example, questions surrounding the management of a wide range of important yet mobile sources of talent, including skilled temporary migrant workers in the agricultural growing and food processing sector who provide essential services to preserve food supply chains in communities.  The pandemic has also complicated the management of other mobile sources of professional talent that have important temporal limitations on peak performance, professional success, and performance effectiveness.  Restrictions on global travel have created a need for countries to consider which jobs are considered essential; allowing cross border mobility, often without need for quarantine.     </w:t>
      </w:r>
    </w:p>
    <w:p w14:paraId="18A2DD97" w14:textId="76B6B537" w:rsidR="00BA3E3E" w:rsidRPr="00861F2A" w:rsidRDefault="0042568F" w:rsidP="00635017">
      <w:pPr>
        <w:spacing w:line="240" w:lineRule="auto"/>
        <w:jc w:val="both"/>
        <w:rPr>
          <w:rFonts w:eastAsia="Times New Roman" w:cstheme="minorHAnsi"/>
          <w:sz w:val="24"/>
          <w:szCs w:val="24"/>
        </w:rPr>
      </w:pPr>
      <w:r w:rsidRPr="00F72C15">
        <w:rPr>
          <w:rFonts w:eastAsia="Times New Roman" w:cstheme="minorHAnsi"/>
          <w:b/>
          <w:iCs/>
          <w:sz w:val="24"/>
          <w:szCs w:val="24"/>
        </w:rPr>
        <w:t>The Talent Management Series</w:t>
      </w:r>
      <w:r w:rsidR="00861F2A" w:rsidRPr="00F72C15">
        <w:rPr>
          <w:rFonts w:eastAsia="Times New Roman" w:cstheme="minorHAnsi"/>
          <w:b/>
          <w:iCs/>
          <w:sz w:val="24"/>
          <w:szCs w:val="24"/>
        </w:rPr>
        <w:t xml:space="preserve"> (Series Editors: V. Vaiman</w:t>
      </w:r>
      <w:r w:rsidR="003B3C6B">
        <w:rPr>
          <w:rFonts w:eastAsia="Times New Roman" w:cstheme="minorHAnsi"/>
          <w:b/>
          <w:iCs/>
          <w:sz w:val="24"/>
          <w:szCs w:val="24"/>
        </w:rPr>
        <w:t xml:space="preserve"> and</w:t>
      </w:r>
      <w:r w:rsidR="003B3C6B" w:rsidRPr="003B3C6B">
        <w:rPr>
          <w:rFonts w:eastAsia="Times New Roman" w:cstheme="minorHAnsi"/>
          <w:b/>
          <w:iCs/>
          <w:sz w:val="24"/>
          <w:szCs w:val="24"/>
        </w:rPr>
        <w:t xml:space="preserve"> </w:t>
      </w:r>
      <w:r w:rsidR="003B3C6B" w:rsidRPr="00F72C15">
        <w:rPr>
          <w:rFonts w:eastAsia="Times New Roman" w:cstheme="minorHAnsi"/>
          <w:b/>
          <w:iCs/>
          <w:sz w:val="24"/>
          <w:szCs w:val="24"/>
        </w:rPr>
        <w:t>D. Collings</w:t>
      </w:r>
      <w:r w:rsidR="00861F2A" w:rsidRPr="00F72C15">
        <w:rPr>
          <w:rFonts w:eastAsia="Times New Roman" w:cstheme="minorHAnsi"/>
          <w:b/>
          <w:iCs/>
          <w:sz w:val="24"/>
          <w:szCs w:val="24"/>
        </w:rPr>
        <w:t>)</w:t>
      </w:r>
      <w:r w:rsidR="00974AEF" w:rsidRPr="00F72C15">
        <w:rPr>
          <w:rFonts w:eastAsia="Times New Roman" w:cstheme="minorHAnsi"/>
          <w:b/>
          <w:sz w:val="24"/>
          <w:szCs w:val="24"/>
        </w:rPr>
        <w:t xml:space="preserve"> </w:t>
      </w:r>
      <w:r w:rsidR="00974AEF" w:rsidRPr="00861F2A">
        <w:rPr>
          <w:rFonts w:eastAsia="Times New Roman" w:cstheme="minorHAnsi"/>
          <w:sz w:val="24"/>
          <w:szCs w:val="24"/>
        </w:rPr>
        <w:t xml:space="preserve">provides </w:t>
      </w:r>
      <w:r w:rsidRPr="00861F2A">
        <w:rPr>
          <w:rFonts w:eastAsia="Times New Roman" w:cstheme="minorHAnsi"/>
          <w:sz w:val="24"/>
          <w:szCs w:val="24"/>
        </w:rPr>
        <w:t>a broad</w:t>
      </w:r>
      <w:r w:rsidR="00974AEF" w:rsidRPr="00861F2A">
        <w:rPr>
          <w:rFonts w:eastAsia="Times New Roman" w:cstheme="minorHAnsi"/>
          <w:sz w:val="24"/>
          <w:szCs w:val="24"/>
        </w:rPr>
        <w:t xml:space="preserve"> examination of the</w:t>
      </w:r>
      <w:r w:rsidRPr="00861F2A">
        <w:rPr>
          <w:rFonts w:eastAsia="Times New Roman" w:cstheme="minorHAnsi"/>
          <w:sz w:val="24"/>
          <w:szCs w:val="24"/>
        </w:rPr>
        <w:t xml:space="preserve"> </w:t>
      </w:r>
      <w:r w:rsidR="00BA3E3E" w:rsidRPr="00861F2A">
        <w:rPr>
          <w:rFonts w:eastAsia="Times New Roman" w:cstheme="minorHAnsi"/>
          <w:sz w:val="24"/>
          <w:szCs w:val="24"/>
        </w:rPr>
        <w:t>c</w:t>
      </w:r>
      <w:r w:rsidR="00974AEF" w:rsidRPr="00861F2A">
        <w:rPr>
          <w:rFonts w:eastAsia="Times New Roman" w:cstheme="minorHAnsi"/>
          <w:sz w:val="24"/>
          <w:szCs w:val="24"/>
        </w:rPr>
        <w:t xml:space="preserve">urrent research, theoretical, and methodological efforts in the field of </w:t>
      </w:r>
      <w:r w:rsidRPr="00861F2A">
        <w:rPr>
          <w:rFonts w:eastAsia="Times New Roman" w:cstheme="minorHAnsi"/>
          <w:sz w:val="24"/>
          <w:szCs w:val="24"/>
        </w:rPr>
        <w:t>talent management</w:t>
      </w:r>
      <w:r w:rsidR="00974AEF" w:rsidRPr="00861F2A">
        <w:rPr>
          <w:rFonts w:eastAsia="Times New Roman" w:cstheme="minorHAnsi"/>
          <w:sz w:val="24"/>
          <w:szCs w:val="24"/>
        </w:rPr>
        <w:t xml:space="preserve">, and its related disciplines.  </w:t>
      </w:r>
      <w:r w:rsidR="003B3C6B">
        <w:rPr>
          <w:rFonts w:eastAsia="Times New Roman" w:cstheme="minorHAnsi"/>
          <w:sz w:val="24"/>
          <w:szCs w:val="24"/>
        </w:rPr>
        <w:t>This volume</w:t>
      </w:r>
      <w:r w:rsidR="00974AEF" w:rsidRPr="00AF7EE5">
        <w:rPr>
          <w:rFonts w:eastAsia="Times New Roman" w:cstheme="minorHAnsi"/>
          <w:sz w:val="24"/>
          <w:szCs w:val="24"/>
        </w:rPr>
        <w:t xml:space="preserve"> </w:t>
      </w:r>
      <w:r w:rsidR="00974AEF" w:rsidRPr="00861F2A">
        <w:rPr>
          <w:rFonts w:eastAsia="Times New Roman" w:cstheme="minorHAnsi"/>
          <w:sz w:val="24"/>
          <w:szCs w:val="24"/>
        </w:rPr>
        <w:t>will focus on expanding our knowledge about</w:t>
      </w:r>
      <w:r w:rsidRPr="00861F2A">
        <w:rPr>
          <w:rFonts w:eastAsia="Times New Roman" w:cstheme="minorHAnsi"/>
          <w:sz w:val="24"/>
          <w:szCs w:val="24"/>
        </w:rPr>
        <w:t xml:space="preserve"> Mobile Talent in Uncertain Times</w:t>
      </w:r>
      <w:r w:rsidR="00974AEF" w:rsidRPr="00861F2A">
        <w:rPr>
          <w:rFonts w:eastAsia="Times New Roman" w:cstheme="minorHAnsi"/>
          <w:sz w:val="24"/>
          <w:szCs w:val="24"/>
        </w:rPr>
        <w:t xml:space="preserve">. </w:t>
      </w:r>
      <w:r w:rsidR="007E337E" w:rsidRPr="00861F2A">
        <w:rPr>
          <w:rFonts w:eastAsia="Times New Roman" w:cstheme="minorHAnsi"/>
          <w:sz w:val="24"/>
          <w:szCs w:val="24"/>
        </w:rPr>
        <w:t xml:space="preserve"> </w:t>
      </w:r>
      <w:r w:rsidR="00974AEF" w:rsidRPr="00861F2A">
        <w:rPr>
          <w:rFonts w:eastAsia="Times New Roman" w:cstheme="minorHAnsi"/>
          <w:sz w:val="24"/>
          <w:szCs w:val="24"/>
        </w:rPr>
        <w:t xml:space="preserve">Both theoretical and empirical manuscripts that consider important aspects of </w:t>
      </w:r>
      <w:r w:rsidRPr="00861F2A">
        <w:rPr>
          <w:rFonts w:eastAsia="Times New Roman" w:cstheme="minorHAnsi"/>
          <w:sz w:val="24"/>
          <w:szCs w:val="24"/>
        </w:rPr>
        <w:t>managing mobile talent in uncertain times</w:t>
      </w:r>
      <w:r w:rsidR="00974AEF" w:rsidRPr="00861F2A">
        <w:rPr>
          <w:rFonts w:eastAsia="Times New Roman" w:cstheme="minorHAnsi"/>
          <w:sz w:val="24"/>
          <w:szCs w:val="24"/>
        </w:rPr>
        <w:t xml:space="preserve"> will be considered. We also encourage practice-based research and manuscripts that tie concepts to cutting-edge </w:t>
      </w:r>
      <w:r w:rsidRPr="00861F2A">
        <w:rPr>
          <w:rFonts w:eastAsia="Times New Roman" w:cstheme="minorHAnsi"/>
          <w:sz w:val="24"/>
          <w:szCs w:val="24"/>
        </w:rPr>
        <w:t>HRM</w:t>
      </w:r>
      <w:r w:rsidR="00974AEF" w:rsidRPr="00861F2A">
        <w:rPr>
          <w:rFonts w:eastAsia="Times New Roman" w:cstheme="minorHAnsi"/>
          <w:sz w:val="24"/>
          <w:szCs w:val="24"/>
        </w:rPr>
        <w:t xml:space="preserve"> approaches.  </w:t>
      </w:r>
    </w:p>
    <w:p w14:paraId="6C69D91D" w14:textId="58601CAC" w:rsidR="00BA3E3E" w:rsidRPr="00AF7EE5" w:rsidRDefault="403E95F1" w:rsidP="00C821DF">
      <w:pPr>
        <w:spacing w:line="240" w:lineRule="auto"/>
        <w:jc w:val="both"/>
        <w:rPr>
          <w:rFonts w:eastAsia="Times New Roman" w:cstheme="minorHAnsi"/>
          <w:sz w:val="24"/>
          <w:szCs w:val="24"/>
        </w:rPr>
      </w:pPr>
      <w:r w:rsidRPr="00861F2A">
        <w:rPr>
          <w:rFonts w:eastAsia="Times New Roman" w:cstheme="minorHAnsi"/>
          <w:sz w:val="24"/>
          <w:szCs w:val="24"/>
        </w:rPr>
        <w:t xml:space="preserve">The </w:t>
      </w:r>
      <w:r w:rsidR="003B3DAD">
        <w:rPr>
          <w:rFonts w:eastAsia="Times New Roman" w:cstheme="minorHAnsi"/>
          <w:sz w:val="24"/>
          <w:szCs w:val="24"/>
        </w:rPr>
        <w:t>chapters</w:t>
      </w:r>
      <w:r w:rsidRPr="00861F2A">
        <w:rPr>
          <w:rFonts w:eastAsia="Times New Roman" w:cstheme="minorHAnsi"/>
          <w:sz w:val="24"/>
          <w:szCs w:val="24"/>
        </w:rPr>
        <w:t xml:space="preserve"> in </w:t>
      </w:r>
      <w:r w:rsidR="003A5EFE" w:rsidRPr="00861F2A">
        <w:rPr>
          <w:rFonts w:eastAsia="Times New Roman" w:cstheme="minorHAnsi"/>
          <w:i/>
          <w:iCs/>
          <w:sz w:val="24"/>
          <w:szCs w:val="24"/>
        </w:rPr>
        <w:t>TM</w:t>
      </w:r>
      <w:r w:rsidRPr="00861F2A">
        <w:rPr>
          <w:rFonts w:eastAsia="Times New Roman" w:cstheme="minorHAnsi"/>
          <w:sz w:val="24"/>
          <w:szCs w:val="24"/>
        </w:rPr>
        <w:t xml:space="preserve"> reflect many state-of-the-art topics and approaches, and are written by leading researche</w:t>
      </w:r>
      <w:r w:rsidR="00060956" w:rsidRPr="00861F2A">
        <w:rPr>
          <w:rFonts w:eastAsia="Times New Roman" w:cstheme="minorHAnsi"/>
          <w:sz w:val="24"/>
          <w:szCs w:val="24"/>
        </w:rPr>
        <w:t>r</w:t>
      </w:r>
      <w:r w:rsidRPr="00861F2A">
        <w:rPr>
          <w:rFonts w:eastAsia="Times New Roman" w:cstheme="minorHAnsi"/>
          <w:sz w:val="24"/>
          <w:szCs w:val="24"/>
        </w:rPr>
        <w:t xml:space="preserve">s in the field, making each volume an important source of information for </w:t>
      </w:r>
      <w:r w:rsidRPr="00861F2A">
        <w:rPr>
          <w:rFonts w:eastAsia="Times New Roman" w:cstheme="minorHAnsi"/>
          <w:sz w:val="24"/>
          <w:szCs w:val="24"/>
        </w:rPr>
        <w:lastRenderedPageBreak/>
        <w:t xml:space="preserve">virtually all </w:t>
      </w:r>
      <w:r w:rsidR="003A5EFE" w:rsidRPr="00861F2A">
        <w:rPr>
          <w:rFonts w:eastAsia="Times New Roman" w:cstheme="minorHAnsi"/>
          <w:sz w:val="24"/>
          <w:szCs w:val="24"/>
        </w:rPr>
        <w:t>talent management</w:t>
      </w:r>
      <w:r w:rsidRPr="00861F2A">
        <w:rPr>
          <w:rFonts w:eastAsia="Times New Roman" w:cstheme="minorHAnsi"/>
          <w:sz w:val="24"/>
          <w:szCs w:val="24"/>
        </w:rPr>
        <w:t xml:space="preserve"> researchers. </w:t>
      </w:r>
      <w:r w:rsidR="003A5EFE" w:rsidRPr="00861F2A">
        <w:rPr>
          <w:rFonts w:eastAsia="Times New Roman" w:cstheme="minorHAnsi"/>
          <w:sz w:val="24"/>
          <w:szCs w:val="24"/>
        </w:rPr>
        <w:t xml:space="preserve">Chapter sizes of </w:t>
      </w:r>
      <w:r w:rsidR="00861F2A" w:rsidRPr="00861F2A">
        <w:rPr>
          <w:rFonts w:eastAsia="Times New Roman" w:cstheme="minorHAnsi"/>
          <w:sz w:val="24"/>
          <w:szCs w:val="24"/>
        </w:rPr>
        <w:t>5</w:t>
      </w:r>
      <w:r w:rsidR="003A5EFE" w:rsidRPr="00861F2A">
        <w:rPr>
          <w:rFonts w:eastAsia="Times New Roman" w:cstheme="minorHAnsi"/>
          <w:sz w:val="24"/>
          <w:szCs w:val="24"/>
        </w:rPr>
        <w:t>000-</w:t>
      </w:r>
      <w:r w:rsidR="00861F2A" w:rsidRPr="00861F2A">
        <w:rPr>
          <w:rFonts w:eastAsia="Times New Roman" w:cstheme="minorHAnsi"/>
          <w:sz w:val="24"/>
          <w:szCs w:val="24"/>
        </w:rPr>
        <w:t>6</w:t>
      </w:r>
      <w:r w:rsidR="003A5EFE" w:rsidRPr="00861F2A">
        <w:rPr>
          <w:rFonts w:eastAsia="Times New Roman" w:cstheme="minorHAnsi"/>
          <w:sz w:val="24"/>
          <w:szCs w:val="24"/>
        </w:rPr>
        <w:t>000 words are welcomed and</w:t>
      </w:r>
      <w:r w:rsidRPr="00861F2A">
        <w:rPr>
          <w:rFonts w:eastAsia="Times New Roman" w:cstheme="minorHAnsi"/>
          <w:sz w:val="24"/>
          <w:szCs w:val="24"/>
        </w:rPr>
        <w:t xml:space="preserve"> provide authors with the opportunity to fully express their key ideas. In effect, the </w:t>
      </w:r>
      <w:r w:rsidR="003A5EFE" w:rsidRPr="00861F2A">
        <w:rPr>
          <w:rFonts w:eastAsia="Times New Roman" w:cstheme="minorHAnsi"/>
          <w:i/>
          <w:iCs/>
          <w:sz w:val="24"/>
          <w:szCs w:val="24"/>
        </w:rPr>
        <w:t>TM</w:t>
      </w:r>
      <w:r w:rsidRPr="00861F2A">
        <w:rPr>
          <w:rFonts w:eastAsia="Times New Roman" w:cstheme="minorHAnsi"/>
          <w:sz w:val="24"/>
          <w:szCs w:val="24"/>
        </w:rPr>
        <w:t xml:space="preserve"> series provides authors the opportunity to publish an "article of record" of their major theoretical or empirical </w:t>
      </w:r>
      <w:r w:rsidRPr="00AF7EE5">
        <w:rPr>
          <w:rFonts w:eastAsia="Times New Roman" w:cstheme="minorHAnsi"/>
          <w:sz w:val="24"/>
          <w:szCs w:val="24"/>
        </w:rPr>
        <w:t xml:space="preserve">ideas, and see it disseminated to a wide audience. </w:t>
      </w:r>
      <w:r w:rsidR="00653B5B" w:rsidRPr="00AF7EE5">
        <w:rPr>
          <w:rFonts w:eastAsia="Times New Roman" w:cstheme="minorHAnsi"/>
          <w:sz w:val="24"/>
          <w:szCs w:val="24"/>
        </w:rPr>
        <w:t>We hope you will identify a contribution to submit for consideration.</w:t>
      </w:r>
    </w:p>
    <w:p w14:paraId="63C05971" w14:textId="3A8794BC" w:rsidR="403E95F1" w:rsidRPr="00861F2A" w:rsidRDefault="403E95F1" w:rsidP="00BA3E3E">
      <w:pPr>
        <w:spacing w:after="0" w:line="240" w:lineRule="auto"/>
        <w:jc w:val="both"/>
        <w:rPr>
          <w:rFonts w:eastAsia="Times New Roman" w:cstheme="minorHAnsi"/>
          <w:sz w:val="24"/>
          <w:szCs w:val="24"/>
        </w:rPr>
      </w:pPr>
      <w:r w:rsidRPr="00AF7EE5">
        <w:rPr>
          <w:rFonts w:eastAsia="Times New Roman" w:cstheme="minorHAnsi"/>
          <w:sz w:val="24"/>
          <w:szCs w:val="24"/>
        </w:rPr>
        <w:t xml:space="preserve">We welcome the opportunity to discuss </w:t>
      </w:r>
      <w:r w:rsidR="00A87560">
        <w:rPr>
          <w:rFonts w:eastAsia="Times New Roman" w:cstheme="minorHAnsi"/>
          <w:sz w:val="24"/>
          <w:szCs w:val="24"/>
        </w:rPr>
        <w:t>chapter</w:t>
      </w:r>
      <w:r w:rsidRPr="00AF7EE5">
        <w:rPr>
          <w:rFonts w:eastAsia="Times New Roman" w:cstheme="minorHAnsi"/>
          <w:sz w:val="24"/>
          <w:szCs w:val="24"/>
        </w:rPr>
        <w:t xml:space="preserve"> ideas with interested researchers.  Please contact the editors:  </w:t>
      </w:r>
      <w:r w:rsidR="00AA613B">
        <w:rPr>
          <w:rFonts w:eastAsia="Times New Roman" w:cstheme="minorHAnsi"/>
          <w:sz w:val="24"/>
          <w:szCs w:val="24"/>
        </w:rPr>
        <w:t xml:space="preserve">Dr. </w:t>
      </w:r>
      <w:r w:rsidR="003A5EFE" w:rsidRPr="00AF7EE5">
        <w:rPr>
          <w:rFonts w:eastAsia="Times New Roman" w:cstheme="minorHAnsi"/>
          <w:sz w:val="24"/>
          <w:szCs w:val="24"/>
        </w:rPr>
        <w:t xml:space="preserve">Francine Schlosser at </w:t>
      </w:r>
      <w:hyperlink r:id="rId12" w:history="1">
        <w:r w:rsidR="003A5EFE" w:rsidRPr="00AF7EE5">
          <w:rPr>
            <w:rStyle w:val="Hyperlink"/>
            <w:rFonts w:eastAsia="Times New Roman" w:cstheme="minorHAnsi"/>
            <w:sz w:val="24"/>
            <w:szCs w:val="24"/>
          </w:rPr>
          <w:t>fschloss@uwindsor.ca</w:t>
        </w:r>
      </w:hyperlink>
      <w:r w:rsidR="003A5EFE" w:rsidRPr="00AF7EE5">
        <w:rPr>
          <w:rFonts w:eastAsia="Times New Roman" w:cstheme="minorHAnsi"/>
          <w:sz w:val="24"/>
          <w:szCs w:val="24"/>
        </w:rPr>
        <w:t xml:space="preserve"> or </w:t>
      </w:r>
      <w:r w:rsidR="00AA613B">
        <w:rPr>
          <w:rFonts w:eastAsia="Times New Roman" w:cstheme="minorHAnsi"/>
          <w:sz w:val="24"/>
          <w:szCs w:val="24"/>
        </w:rPr>
        <w:t xml:space="preserve">Dr. </w:t>
      </w:r>
      <w:r w:rsidR="003A5EFE" w:rsidRPr="00AF7EE5">
        <w:rPr>
          <w:rFonts w:eastAsia="Times New Roman" w:cstheme="minorHAnsi"/>
          <w:sz w:val="24"/>
          <w:szCs w:val="24"/>
        </w:rPr>
        <w:t xml:space="preserve">Deborah McPhee at </w:t>
      </w:r>
      <w:hyperlink r:id="rId13" w:history="1">
        <w:r w:rsidR="003A5EFE" w:rsidRPr="00AF7EE5">
          <w:rPr>
            <w:rStyle w:val="Hyperlink"/>
            <w:rFonts w:eastAsia="Times New Roman" w:cstheme="minorHAnsi"/>
            <w:sz w:val="24"/>
            <w:szCs w:val="24"/>
          </w:rPr>
          <w:t>dmcphee@brocku.ca</w:t>
        </w:r>
      </w:hyperlink>
      <w:r w:rsidR="003A5EFE" w:rsidRPr="00AF7EE5">
        <w:rPr>
          <w:rFonts w:eastAsia="Times New Roman" w:cstheme="minorHAnsi"/>
          <w:sz w:val="24"/>
          <w:szCs w:val="24"/>
        </w:rPr>
        <w:t xml:space="preserve">. </w:t>
      </w:r>
      <w:r w:rsidR="00C87209">
        <w:rPr>
          <w:rFonts w:eastAsia="Times New Roman" w:cstheme="minorHAnsi"/>
          <w:sz w:val="24"/>
          <w:szCs w:val="24"/>
        </w:rPr>
        <w:t xml:space="preserve"> </w:t>
      </w:r>
      <w:r w:rsidR="008D24A9">
        <w:rPr>
          <w:rFonts w:eastAsia="Times New Roman" w:cstheme="minorHAnsi"/>
          <w:sz w:val="24"/>
          <w:szCs w:val="24"/>
        </w:rPr>
        <w:t xml:space="preserve">Chapter proposals due May 31, 2021.  </w:t>
      </w:r>
      <w:r w:rsidR="005E02F3">
        <w:rPr>
          <w:rFonts w:eastAsia="Times New Roman" w:cstheme="minorHAnsi"/>
          <w:sz w:val="24"/>
          <w:szCs w:val="24"/>
        </w:rPr>
        <w:t xml:space="preserve">Selected authors will be notified no later than June 15, 2021.  </w:t>
      </w:r>
      <w:r w:rsidR="00C87209">
        <w:rPr>
          <w:rFonts w:eastAsia="Times New Roman" w:cstheme="minorHAnsi"/>
          <w:sz w:val="24"/>
          <w:szCs w:val="24"/>
        </w:rPr>
        <w:t xml:space="preserve">Finalized chapters are to be sent to the editors no later than </w:t>
      </w:r>
      <w:r w:rsidR="00F72C15">
        <w:rPr>
          <w:rFonts w:eastAsia="Times New Roman" w:cstheme="minorHAnsi"/>
          <w:sz w:val="24"/>
          <w:szCs w:val="24"/>
        </w:rPr>
        <w:t>September 30</w:t>
      </w:r>
      <w:r w:rsidR="00C9691C" w:rsidRPr="00861F2A">
        <w:rPr>
          <w:rFonts w:eastAsia="Times New Roman" w:cstheme="minorHAnsi"/>
          <w:sz w:val="24"/>
          <w:szCs w:val="24"/>
        </w:rPr>
        <w:t>, 2021</w:t>
      </w:r>
      <w:r w:rsidR="00B726B3">
        <w:rPr>
          <w:rFonts w:eastAsia="Times New Roman" w:cstheme="minorHAnsi"/>
          <w:sz w:val="24"/>
          <w:szCs w:val="24"/>
        </w:rPr>
        <w:t>.</w:t>
      </w:r>
      <w:r w:rsidR="00B726B3">
        <w:rPr>
          <w:rFonts w:eastAsia="Times New Roman" w:cstheme="minorHAnsi"/>
          <w:sz w:val="24"/>
          <w:szCs w:val="24"/>
          <w:highlight w:val="yellow"/>
        </w:rPr>
        <w:t xml:space="preserve"> </w:t>
      </w:r>
    </w:p>
    <w:p w14:paraId="5BADA64D" w14:textId="77777777" w:rsidR="006D5EE8" w:rsidRDefault="006D5EE8" w:rsidP="00861F2A">
      <w:pPr>
        <w:spacing w:after="0" w:line="240" w:lineRule="auto"/>
        <w:rPr>
          <w:rFonts w:cstheme="minorHAnsi"/>
          <w:sz w:val="24"/>
          <w:szCs w:val="24"/>
        </w:rPr>
      </w:pPr>
    </w:p>
    <w:p w14:paraId="14A9C291" w14:textId="3ED710D6" w:rsidR="00861F2A" w:rsidRPr="004000BB" w:rsidRDefault="00805815" w:rsidP="00861F2A">
      <w:pPr>
        <w:spacing w:after="0" w:line="240" w:lineRule="auto"/>
        <w:rPr>
          <w:rFonts w:cstheme="minorHAnsi"/>
          <w:b/>
          <w:sz w:val="24"/>
          <w:szCs w:val="24"/>
        </w:rPr>
      </w:pPr>
      <w:r w:rsidRPr="004000BB">
        <w:rPr>
          <w:rFonts w:cstheme="minorHAnsi"/>
          <w:b/>
          <w:sz w:val="24"/>
          <w:szCs w:val="24"/>
        </w:rPr>
        <w:t>References</w:t>
      </w:r>
    </w:p>
    <w:p w14:paraId="7FB75C24" w14:textId="77777777" w:rsidR="00861F2A" w:rsidRPr="004000BB" w:rsidRDefault="00861F2A" w:rsidP="00861F2A">
      <w:pPr>
        <w:spacing w:after="0" w:line="240" w:lineRule="auto"/>
        <w:rPr>
          <w:rFonts w:cstheme="minorHAnsi"/>
          <w:b/>
          <w:sz w:val="24"/>
          <w:szCs w:val="24"/>
        </w:rPr>
      </w:pPr>
    </w:p>
    <w:p w14:paraId="35EDE4B5" w14:textId="77777777" w:rsidR="007016CD" w:rsidRDefault="00861F2A" w:rsidP="007016CD">
      <w:pPr>
        <w:widowControl w:val="0"/>
        <w:autoSpaceDE w:val="0"/>
        <w:autoSpaceDN w:val="0"/>
        <w:adjustRightInd w:val="0"/>
        <w:spacing w:after="0" w:line="240" w:lineRule="auto"/>
        <w:rPr>
          <w:rFonts w:cstheme="minorHAnsi"/>
          <w:sz w:val="24"/>
          <w:szCs w:val="24"/>
          <w:lang w:val="en-CA"/>
        </w:rPr>
      </w:pPr>
      <w:r w:rsidRPr="004000BB">
        <w:rPr>
          <w:rFonts w:cstheme="minorHAnsi"/>
          <w:sz w:val="24"/>
          <w:szCs w:val="24"/>
          <w:lang w:val="en-CA"/>
        </w:rPr>
        <w:t>Boland, B., De Smet, A., Palter, R., &amp; Sanghvi, A. (2020). Reimagining the office and work life</w:t>
      </w:r>
    </w:p>
    <w:p w14:paraId="70D49846" w14:textId="026BC1E8" w:rsidR="00861F2A" w:rsidRPr="004000BB" w:rsidRDefault="00861F2A" w:rsidP="007016CD">
      <w:pPr>
        <w:widowControl w:val="0"/>
        <w:autoSpaceDE w:val="0"/>
        <w:autoSpaceDN w:val="0"/>
        <w:adjustRightInd w:val="0"/>
        <w:spacing w:after="0" w:line="240" w:lineRule="auto"/>
        <w:ind w:firstLine="720"/>
        <w:rPr>
          <w:rFonts w:cstheme="minorHAnsi"/>
          <w:sz w:val="24"/>
          <w:szCs w:val="24"/>
          <w:lang w:val="en-CA"/>
        </w:rPr>
      </w:pPr>
      <w:r w:rsidRPr="004000BB">
        <w:rPr>
          <w:rFonts w:cstheme="minorHAnsi"/>
          <w:sz w:val="24"/>
          <w:szCs w:val="24"/>
          <w:lang w:val="en-CA"/>
        </w:rPr>
        <w:t xml:space="preserve">after COVID-19, </w:t>
      </w:r>
      <w:proofErr w:type="gramStart"/>
      <w:r w:rsidRPr="004000BB">
        <w:rPr>
          <w:rFonts w:cstheme="minorHAnsi"/>
          <w:sz w:val="24"/>
          <w:szCs w:val="24"/>
          <w:lang w:val="en-CA"/>
        </w:rPr>
        <w:t>McKinsey</w:t>
      </w:r>
      <w:proofErr w:type="gramEnd"/>
      <w:r w:rsidRPr="004000BB">
        <w:rPr>
          <w:rFonts w:cstheme="minorHAnsi"/>
          <w:sz w:val="24"/>
          <w:szCs w:val="24"/>
          <w:lang w:val="en-CA"/>
        </w:rPr>
        <w:t xml:space="preserve"> and Company.</w:t>
      </w:r>
    </w:p>
    <w:p w14:paraId="7CC1AA46" w14:textId="77777777" w:rsidR="007016CD" w:rsidRDefault="00861F2A" w:rsidP="007016CD">
      <w:pPr>
        <w:widowControl w:val="0"/>
        <w:autoSpaceDE w:val="0"/>
        <w:autoSpaceDN w:val="0"/>
        <w:adjustRightInd w:val="0"/>
        <w:spacing w:after="0" w:line="240" w:lineRule="auto"/>
        <w:rPr>
          <w:rFonts w:cstheme="minorHAnsi"/>
          <w:i/>
          <w:sz w:val="24"/>
          <w:szCs w:val="24"/>
        </w:rPr>
      </w:pPr>
      <w:r w:rsidRPr="004000BB">
        <w:rPr>
          <w:rFonts w:cstheme="minorHAnsi"/>
          <w:sz w:val="24"/>
          <w:szCs w:val="24"/>
        </w:rPr>
        <w:t xml:space="preserve">Brashers, D. (2001), “Communication and uncertainty management”, </w:t>
      </w:r>
      <w:r w:rsidRPr="004000BB">
        <w:rPr>
          <w:rFonts w:cstheme="minorHAnsi"/>
          <w:i/>
          <w:sz w:val="24"/>
          <w:szCs w:val="24"/>
        </w:rPr>
        <w:t xml:space="preserve">Journal of </w:t>
      </w:r>
    </w:p>
    <w:p w14:paraId="604DF165" w14:textId="2CAE36F1" w:rsidR="00861F2A" w:rsidRPr="004000BB" w:rsidRDefault="00861F2A" w:rsidP="007016CD">
      <w:pPr>
        <w:widowControl w:val="0"/>
        <w:autoSpaceDE w:val="0"/>
        <w:autoSpaceDN w:val="0"/>
        <w:adjustRightInd w:val="0"/>
        <w:spacing w:after="0" w:line="240" w:lineRule="auto"/>
        <w:ind w:firstLine="720"/>
        <w:rPr>
          <w:rFonts w:cstheme="minorHAnsi"/>
          <w:sz w:val="24"/>
          <w:szCs w:val="24"/>
        </w:rPr>
      </w:pPr>
      <w:r w:rsidRPr="004000BB">
        <w:rPr>
          <w:rFonts w:cstheme="minorHAnsi"/>
          <w:i/>
          <w:sz w:val="24"/>
          <w:szCs w:val="24"/>
        </w:rPr>
        <w:t>Communication</w:t>
      </w:r>
      <w:r w:rsidRPr="004000BB">
        <w:rPr>
          <w:rFonts w:cstheme="minorHAnsi"/>
          <w:sz w:val="24"/>
          <w:szCs w:val="24"/>
        </w:rPr>
        <w:t>, Vol. 51 No. 3, pp. 477-97.</w:t>
      </w:r>
    </w:p>
    <w:p w14:paraId="51831C22" w14:textId="77777777" w:rsidR="007016CD" w:rsidRDefault="00861F2A" w:rsidP="00861F2A">
      <w:pPr>
        <w:widowControl w:val="0"/>
        <w:autoSpaceDE w:val="0"/>
        <w:autoSpaceDN w:val="0"/>
        <w:adjustRightInd w:val="0"/>
        <w:spacing w:after="0" w:line="240" w:lineRule="auto"/>
        <w:rPr>
          <w:rFonts w:cstheme="minorHAnsi"/>
          <w:sz w:val="24"/>
          <w:szCs w:val="24"/>
          <w:lang w:val="en-CA"/>
        </w:rPr>
      </w:pPr>
      <w:r w:rsidRPr="004000BB">
        <w:rPr>
          <w:rFonts w:cstheme="minorHAnsi"/>
          <w:sz w:val="24"/>
          <w:szCs w:val="24"/>
          <w:lang w:val="en-CA"/>
        </w:rPr>
        <w:t xml:space="preserve">Collings, D. G., &amp; Isichei, M. (2018). </w:t>
      </w:r>
      <w:r w:rsidR="00131F26" w:rsidRPr="004000BB">
        <w:rPr>
          <w:rFonts w:cstheme="minorHAnsi"/>
          <w:sz w:val="24"/>
          <w:szCs w:val="24"/>
          <w:lang w:val="en-CA"/>
        </w:rPr>
        <w:t>“</w:t>
      </w:r>
      <w:r w:rsidRPr="004000BB">
        <w:rPr>
          <w:rFonts w:cstheme="minorHAnsi"/>
          <w:sz w:val="24"/>
          <w:szCs w:val="24"/>
          <w:lang w:val="en-CA"/>
        </w:rPr>
        <w:t>The shifting boundaries of global staffing: Integrating</w:t>
      </w:r>
    </w:p>
    <w:p w14:paraId="12741C59" w14:textId="2DDB295B" w:rsidR="00861F2A" w:rsidRPr="004000BB" w:rsidRDefault="00861F2A" w:rsidP="007016CD">
      <w:pPr>
        <w:widowControl w:val="0"/>
        <w:autoSpaceDE w:val="0"/>
        <w:autoSpaceDN w:val="0"/>
        <w:adjustRightInd w:val="0"/>
        <w:spacing w:after="0" w:line="240" w:lineRule="auto"/>
        <w:ind w:left="720"/>
        <w:rPr>
          <w:rFonts w:cstheme="minorHAnsi"/>
          <w:sz w:val="24"/>
          <w:szCs w:val="24"/>
          <w:lang w:val="en-CA"/>
        </w:rPr>
      </w:pPr>
      <w:r w:rsidRPr="004000BB">
        <w:rPr>
          <w:rFonts w:cstheme="minorHAnsi"/>
          <w:sz w:val="24"/>
          <w:szCs w:val="24"/>
          <w:lang w:val="en-CA"/>
        </w:rPr>
        <w:t>global talent management, alternative forms of international assignments and non-employees into the discussion.</w:t>
      </w:r>
      <w:r w:rsidR="00131F26" w:rsidRPr="004000BB">
        <w:rPr>
          <w:rFonts w:cstheme="minorHAnsi"/>
          <w:sz w:val="24"/>
          <w:szCs w:val="24"/>
          <w:lang w:val="en-CA"/>
        </w:rPr>
        <w:t>”</w:t>
      </w:r>
      <w:r w:rsidRPr="004000BB">
        <w:rPr>
          <w:rFonts w:cstheme="minorHAnsi"/>
          <w:sz w:val="24"/>
          <w:szCs w:val="24"/>
          <w:lang w:val="en-CA"/>
        </w:rPr>
        <w:t> </w:t>
      </w:r>
      <w:r w:rsidRPr="004000BB">
        <w:rPr>
          <w:rFonts w:cstheme="minorHAnsi"/>
          <w:i/>
          <w:iCs/>
          <w:sz w:val="24"/>
          <w:szCs w:val="24"/>
          <w:lang w:val="en-CA"/>
        </w:rPr>
        <w:t>The International Journal of Human Resource Management</w:t>
      </w:r>
      <w:r w:rsidRPr="004000BB">
        <w:rPr>
          <w:rFonts w:cstheme="minorHAnsi"/>
          <w:sz w:val="24"/>
          <w:szCs w:val="24"/>
          <w:lang w:val="en-CA"/>
        </w:rPr>
        <w:t>, </w:t>
      </w:r>
      <w:r w:rsidRPr="004000BB">
        <w:rPr>
          <w:rFonts w:cstheme="minorHAnsi"/>
          <w:i/>
          <w:iCs/>
          <w:sz w:val="24"/>
          <w:szCs w:val="24"/>
          <w:lang w:val="en-CA"/>
        </w:rPr>
        <w:t>29</w:t>
      </w:r>
      <w:r w:rsidRPr="004000BB">
        <w:rPr>
          <w:rFonts w:cstheme="minorHAnsi"/>
          <w:sz w:val="24"/>
          <w:szCs w:val="24"/>
          <w:lang w:val="en-CA"/>
        </w:rPr>
        <w:t>(1), 165-187.</w:t>
      </w:r>
    </w:p>
    <w:p w14:paraId="46B4100E" w14:textId="77777777" w:rsidR="007016CD" w:rsidRDefault="00861F2A" w:rsidP="00861F2A">
      <w:pPr>
        <w:widowControl w:val="0"/>
        <w:autoSpaceDE w:val="0"/>
        <w:autoSpaceDN w:val="0"/>
        <w:adjustRightInd w:val="0"/>
        <w:spacing w:after="0" w:line="240" w:lineRule="auto"/>
        <w:rPr>
          <w:rFonts w:cstheme="minorHAnsi"/>
          <w:sz w:val="24"/>
          <w:szCs w:val="24"/>
          <w:lang w:val="en-CA"/>
        </w:rPr>
      </w:pPr>
      <w:r w:rsidRPr="004000BB">
        <w:rPr>
          <w:rFonts w:cstheme="minorHAnsi"/>
          <w:sz w:val="24"/>
          <w:szCs w:val="24"/>
          <w:lang w:val="en-CA"/>
        </w:rPr>
        <w:t xml:space="preserve">Collings, D. G., Mellahi, K., &amp; Cascio, W. F. (2019). </w:t>
      </w:r>
      <w:r w:rsidR="00131F26" w:rsidRPr="004000BB">
        <w:rPr>
          <w:rFonts w:cstheme="minorHAnsi"/>
          <w:sz w:val="24"/>
          <w:szCs w:val="24"/>
          <w:lang w:val="en-CA"/>
        </w:rPr>
        <w:t>“</w:t>
      </w:r>
      <w:r w:rsidRPr="004000BB">
        <w:rPr>
          <w:rFonts w:cstheme="minorHAnsi"/>
          <w:sz w:val="24"/>
          <w:szCs w:val="24"/>
          <w:lang w:val="en-CA"/>
        </w:rPr>
        <w:t>Global talent management and performance</w:t>
      </w:r>
    </w:p>
    <w:p w14:paraId="6DDDD490" w14:textId="0B9B05B0" w:rsidR="00861F2A" w:rsidRPr="004000BB" w:rsidRDefault="00861F2A" w:rsidP="007016CD">
      <w:pPr>
        <w:widowControl w:val="0"/>
        <w:autoSpaceDE w:val="0"/>
        <w:autoSpaceDN w:val="0"/>
        <w:adjustRightInd w:val="0"/>
        <w:spacing w:after="0" w:line="240" w:lineRule="auto"/>
        <w:ind w:left="720"/>
        <w:rPr>
          <w:rFonts w:cstheme="minorHAnsi"/>
          <w:sz w:val="24"/>
          <w:szCs w:val="24"/>
          <w:lang w:val="en-CA"/>
        </w:rPr>
      </w:pPr>
      <w:r w:rsidRPr="004000BB">
        <w:rPr>
          <w:rFonts w:cstheme="minorHAnsi"/>
          <w:sz w:val="24"/>
          <w:szCs w:val="24"/>
          <w:lang w:val="en-CA"/>
        </w:rPr>
        <w:t>in multinational enterprises: A multilevel perspective.</w:t>
      </w:r>
      <w:r w:rsidR="00131F26" w:rsidRPr="004000BB">
        <w:rPr>
          <w:rFonts w:cstheme="minorHAnsi"/>
          <w:sz w:val="24"/>
          <w:szCs w:val="24"/>
          <w:lang w:val="en-CA"/>
        </w:rPr>
        <w:t>”</w:t>
      </w:r>
      <w:r w:rsidRPr="004000BB">
        <w:rPr>
          <w:rFonts w:cstheme="minorHAnsi"/>
          <w:sz w:val="24"/>
          <w:szCs w:val="24"/>
          <w:lang w:val="en-CA"/>
        </w:rPr>
        <w:t> </w:t>
      </w:r>
      <w:r w:rsidRPr="004000BB">
        <w:rPr>
          <w:rFonts w:cstheme="minorHAnsi"/>
          <w:i/>
          <w:iCs/>
          <w:sz w:val="24"/>
          <w:szCs w:val="24"/>
          <w:lang w:val="en-CA"/>
        </w:rPr>
        <w:t>Journal of Management</w:t>
      </w:r>
      <w:r w:rsidRPr="004000BB">
        <w:rPr>
          <w:rFonts w:cstheme="minorHAnsi"/>
          <w:sz w:val="24"/>
          <w:szCs w:val="24"/>
          <w:lang w:val="en-CA"/>
        </w:rPr>
        <w:t>, </w:t>
      </w:r>
      <w:r w:rsidRPr="004000BB">
        <w:rPr>
          <w:rFonts w:cstheme="minorHAnsi"/>
          <w:i/>
          <w:iCs/>
          <w:sz w:val="24"/>
          <w:szCs w:val="24"/>
          <w:lang w:val="en-CA"/>
        </w:rPr>
        <w:t>45</w:t>
      </w:r>
      <w:r w:rsidRPr="004000BB">
        <w:rPr>
          <w:rFonts w:cstheme="minorHAnsi"/>
          <w:sz w:val="24"/>
          <w:szCs w:val="24"/>
          <w:lang w:val="en-CA"/>
        </w:rPr>
        <w:t>(2), 540-566.</w:t>
      </w:r>
    </w:p>
    <w:p w14:paraId="426CD91E" w14:textId="77777777" w:rsidR="007016CD" w:rsidRDefault="00861F2A" w:rsidP="00861F2A">
      <w:pPr>
        <w:widowControl w:val="0"/>
        <w:autoSpaceDE w:val="0"/>
        <w:autoSpaceDN w:val="0"/>
        <w:adjustRightInd w:val="0"/>
        <w:spacing w:after="0" w:line="240" w:lineRule="auto"/>
        <w:rPr>
          <w:rFonts w:cstheme="minorHAnsi"/>
          <w:sz w:val="24"/>
          <w:szCs w:val="24"/>
          <w:lang w:val="en-CA"/>
        </w:rPr>
      </w:pPr>
      <w:r w:rsidRPr="004000BB">
        <w:rPr>
          <w:rFonts w:cstheme="minorHAnsi"/>
          <w:sz w:val="24"/>
          <w:szCs w:val="24"/>
          <w:lang w:val="en-CA"/>
        </w:rPr>
        <w:t xml:space="preserve">Crowley-Henry, M.  &amp; Al Ariss, A.  (2018). </w:t>
      </w:r>
      <w:r w:rsidR="00131F26" w:rsidRPr="004000BB">
        <w:rPr>
          <w:rFonts w:cstheme="minorHAnsi"/>
          <w:sz w:val="24"/>
          <w:szCs w:val="24"/>
          <w:lang w:val="en-CA"/>
        </w:rPr>
        <w:t>“</w:t>
      </w:r>
      <w:r w:rsidRPr="004000BB">
        <w:rPr>
          <w:rFonts w:cstheme="minorHAnsi"/>
          <w:sz w:val="24"/>
          <w:szCs w:val="24"/>
          <w:lang w:val="en-CA"/>
        </w:rPr>
        <w:t>Talent management of skilled</w:t>
      </w:r>
      <w:r w:rsidR="007016CD">
        <w:rPr>
          <w:rFonts w:cstheme="minorHAnsi"/>
          <w:sz w:val="24"/>
          <w:szCs w:val="24"/>
          <w:lang w:val="en-CA"/>
        </w:rPr>
        <w:t xml:space="preserve"> </w:t>
      </w:r>
      <w:r w:rsidRPr="004000BB">
        <w:rPr>
          <w:rFonts w:cstheme="minorHAnsi"/>
          <w:sz w:val="24"/>
          <w:szCs w:val="24"/>
          <w:lang w:val="en-CA"/>
        </w:rPr>
        <w:t>migrants: propositions</w:t>
      </w:r>
    </w:p>
    <w:p w14:paraId="4B668826" w14:textId="07E2AC03" w:rsidR="00861F2A" w:rsidRPr="004000BB" w:rsidRDefault="00861F2A" w:rsidP="007016CD">
      <w:pPr>
        <w:widowControl w:val="0"/>
        <w:autoSpaceDE w:val="0"/>
        <w:autoSpaceDN w:val="0"/>
        <w:adjustRightInd w:val="0"/>
        <w:spacing w:after="0" w:line="240" w:lineRule="auto"/>
        <w:ind w:left="720"/>
        <w:rPr>
          <w:rFonts w:cstheme="minorHAnsi"/>
          <w:sz w:val="24"/>
          <w:szCs w:val="24"/>
          <w:lang w:val="en-CA"/>
        </w:rPr>
      </w:pPr>
      <w:r w:rsidRPr="004000BB">
        <w:rPr>
          <w:rFonts w:cstheme="minorHAnsi"/>
          <w:sz w:val="24"/>
          <w:szCs w:val="24"/>
          <w:lang w:val="en-CA"/>
        </w:rPr>
        <w:t>and an agenda for future research</w:t>
      </w:r>
      <w:r w:rsidR="00131F26" w:rsidRPr="004000BB">
        <w:rPr>
          <w:rFonts w:cstheme="minorHAnsi"/>
          <w:sz w:val="24"/>
          <w:szCs w:val="24"/>
          <w:lang w:val="en-CA"/>
        </w:rPr>
        <w:t xml:space="preserve">.” </w:t>
      </w:r>
      <w:r w:rsidRPr="004000BB">
        <w:rPr>
          <w:rFonts w:cstheme="minorHAnsi"/>
          <w:i/>
          <w:iCs/>
          <w:sz w:val="24"/>
          <w:szCs w:val="24"/>
          <w:lang w:val="en-CA"/>
        </w:rPr>
        <w:t>The International Journal of Human</w:t>
      </w:r>
      <w:r w:rsidR="007016CD">
        <w:rPr>
          <w:rFonts w:cstheme="minorHAnsi"/>
          <w:sz w:val="24"/>
          <w:szCs w:val="24"/>
          <w:lang w:val="en-CA"/>
        </w:rPr>
        <w:t xml:space="preserve"> </w:t>
      </w:r>
      <w:r w:rsidRPr="004000BB">
        <w:rPr>
          <w:rFonts w:cstheme="minorHAnsi"/>
          <w:i/>
          <w:iCs/>
          <w:sz w:val="24"/>
          <w:szCs w:val="24"/>
          <w:lang w:val="en-CA"/>
        </w:rPr>
        <w:t>Resource Management,</w:t>
      </w:r>
      <w:r w:rsidRPr="004000BB">
        <w:rPr>
          <w:rFonts w:cstheme="minorHAnsi"/>
          <w:sz w:val="24"/>
          <w:szCs w:val="24"/>
          <w:lang w:val="en-CA"/>
        </w:rPr>
        <w:t xml:space="preserve"> 29:13, 2054-2079, DOI: 10.1080/09585192.2016.1262889</w:t>
      </w:r>
      <w:r w:rsidR="007016CD">
        <w:rPr>
          <w:rFonts w:cstheme="minorHAnsi"/>
          <w:sz w:val="24"/>
          <w:szCs w:val="24"/>
          <w:lang w:val="en-CA"/>
        </w:rPr>
        <w:t>.</w:t>
      </w:r>
    </w:p>
    <w:p w14:paraId="6DAA773D" w14:textId="77777777" w:rsidR="007016CD" w:rsidRDefault="00861F2A" w:rsidP="00861F2A">
      <w:pPr>
        <w:widowControl w:val="0"/>
        <w:autoSpaceDE w:val="0"/>
        <w:autoSpaceDN w:val="0"/>
        <w:adjustRightInd w:val="0"/>
        <w:spacing w:after="0" w:line="240" w:lineRule="auto"/>
        <w:rPr>
          <w:rFonts w:cstheme="minorHAnsi"/>
          <w:sz w:val="24"/>
          <w:szCs w:val="24"/>
          <w:lang w:val="en-CA"/>
        </w:rPr>
      </w:pPr>
      <w:r w:rsidRPr="004000BB">
        <w:rPr>
          <w:rFonts w:cstheme="minorHAnsi"/>
          <w:sz w:val="24"/>
          <w:szCs w:val="24"/>
          <w:lang w:val="en-CA"/>
        </w:rPr>
        <w:t xml:space="preserve">Gallardo-Gallardo, E., Thunnissen, M., &amp; Scullion, H. (2020). </w:t>
      </w:r>
      <w:r w:rsidR="00131F26" w:rsidRPr="004000BB">
        <w:rPr>
          <w:rFonts w:cstheme="minorHAnsi"/>
          <w:sz w:val="24"/>
          <w:szCs w:val="24"/>
          <w:lang w:val="en-CA"/>
        </w:rPr>
        <w:t>“</w:t>
      </w:r>
      <w:r w:rsidRPr="004000BB">
        <w:rPr>
          <w:rFonts w:cstheme="minorHAnsi"/>
          <w:sz w:val="24"/>
          <w:szCs w:val="24"/>
          <w:lang w:val="en-CA"/>
        </w:rPr>
        <w:t>Talent management: context</w:t>
      </w:r>
    </w:p>
    <w:p w14:paraId="0F10D6C1" w14:textId="1DED97DA" w:rsidR="00861F2A" w:rsidRPr="007016CD" w:rsidRDefault="00861F2A" w:rsidP="007016CD">
      <w:pPr>
        <w:widowControl w:val="0"/>
        <w:autoSpaceDE w:val="0"/>
        <w:autoSpaceDN w:val="0"/>
        <w:adjustRightInd w:val="0"/>
        <w:spacing w:after="0" w:line="240" w:lineRule="auto"/>
        <w:ind w:left="720"/>
        <w:rPr>
          <w:rFonts w:cstheme="minorHAnsi"/>
          <w:color w:val="0563C1" w:themeColor="hyperlink"/>
          <w:sz w:val="24"/>
          <w:szCs w:val="24"/>
          <w:u w:val="single"/>
          <w:lang w:val="en-CA"/>
        </w:rPr>
      </w:pPr>
      <w:r w:rsidRPr="004000BB">
        <w:rPr>
          <w:rFonts w:cstheme="minorHAnsi"/>
          <w:sz w:val="24"/>
          <w:szCs w:val="24"/>
          <w:lang w:val="en-CA"/>
        </w:rPr>
        <w:t>matters.</w:t>
      </w:r>
      <w:r w:rsidR="00131F26" w:rsidRPr="004000BB">
        <w:rPr>
          <w:rFonts w:cstheme="minorHAnsi"/>
          <w:sz w:val="24"/>
          <w:szCs w:val="24"/>
          <w:lang w:val="en-CA"/>
        </w:rPr>
        <w:t>”</w:t>
      </w:r>
      <w:r w:rsidRPr="004000BB">
        <w:rPr>
          <w:rFonts w:cstheme="minorHAnsi"/>
          <w:sz w:val="24"/>
          <w:szCs w:val="24"/>
          <w:lang w:val="en-CA"/>
        </w:rPr>
        <w:t xml:space="preserve">  </w:t>
      </w:r>
      <w:r w:rsidRPr="004000BB">
        <w:rPr>
          <w:rFonts w:cstheme="minorHAnsi"/>
          <w:i/>
          <w:sz w:val="24"/>
          <w:szCs w:val="24"/>
          <w:lang w:val="en-CA"/>
        </w:rPr>
        <w:t>International Journal of Human Resource Management 31</w:t>
      </w:r>
      <w:r w:rsidRPr="004000BB">
        <w:rPr>
          <w:rFonts w:cstheme="minorHAnsi"/>
          <w:sz w:val="24"/>
          <w:szCs w:val="24"/>
          <w:lang w:val="en-CA"/>
        </w:rPr>
        <w:t xml:space="preserve">(4), 457-473  </w:t>
      </w:r>
      <w:hyperlink r:id="rId14" w:history="1">
        <w:r w:rsidR="007016CD" w:rsidRPr="00E85D16">
          <w:rPr>
            <w:rStyle w:val="Hyperlink"/>
            <w:rFonts w:cstheme="minorHAnsi"/>
            <w:sz w:val="24"/>
            <w:szCs w:val="24"/>
            <w:lang w:val="en-CA"/>
          </w:rPr>
          <w:t>https://www.tandfonline.com/doi/full/10.1080/09585192.2019.1642645</w:t>
        </w:r>
      </w:hyperlink>
    </w:p>
    <w:p w14:paraId="697EB09C" w14:textId="77777777" w:rsidR="007016CD" w:rsidRDefault="00861F2A" w:rsidP="00861F2A">
      <w:pPr>
        <w:widowControl w:val="0"/>
        <w:autoSpaceDE w:val="0"/>
        <w:autoSpaceDN w:val="0"/>
        <w:adjustRightInd w:val="0"/>
        <w:spacing w:after="0" w:line="240" w:lineRule="auto"/>
        <w:rPr>
          <w:rFonts w:cstheme="minorHAnsi"/>
          <w:sz w:val="24"/>
          <w:szCs w:val="24"/>
          <w:lang w:val="en-CA"/>
        </w:rPr>
      </w:pPr>
      <w:r w:rsidRPr="004000BB">
        <w:rPr>
          <w:rFonts w:cstheme="minorHAnsi"/>
          <w:sz w:val="24"/>
          <w:szCs w:val="24"/>
          <w:lang w:val="en-CA"/>
        </w:rPr>
        <w:t xml:space="preserve">Herzig, S. E., &amp; Jimmieson, N. L. (2006). </w:t>
      </w:r>
      <w:r w:rsidR="00131F26" w:rsidRPr="004000BB">
        <w:rPr>
          <w:rFonts w:cstheme="minorHAnsi"/>
          <w:sz w:val="24"/>
          <w:szCs w:val="24"/>
          <w:lang w:val="en-CA"/>
        </w:rPr>
        <w:t>“</w:t>
      </w:r>
      <w:r w:rsidRPr="004000BB">
        <w:rPr>
          <w:rFonts w:cstheme="minorHAnsi"/>
          <w:sz w:val="24"/>
          <w:szCs w:val="24"/>
          <w:lang w:val="en-CA"/>
        </w:rPr>
        <w:t>Middle managers' uncertainty management during</w:t>
      </w:r>
    </w:p>
    <w:p w14:paraId="1584DF56" w14:textId="6CDB6251" w:rsidR="00861F2A" w:rsidRPr="004000BB" w:rsidRDefault="00861F2A" w:rsidP="007016CD">
      <w:pPr>
        <w:widowControl w:val="0"/>
        <w:autoSpaceDE w:val="0"/>
        <w:autoSpaceDN w:val="0"/>
        <w:adjustRightInd w:val="0"/>
        <w:spacing w:after="0" w:line="240" w:lineRule="auto"/>
        <w:ind w:firstLine="720"/>
        <w:rPr>
          <w:rFonts w:cstheme="minorHAnsi"/>
          <w:sz w:val="24"/>
          <w:szCs w:val="24"/>
          <w:lang w:val="en-CA"/>
        </w:rPr>
      </w:pPr>
      <w:r w:rsidRPr="004000BB">
        <w:rPr>
          <w:rFonts w:cstheme="minorHAnsi"/>
          <w:sz w:val="24"/>
          <w:szCs w:val="24"/>
          <w:lang w:val="en-CA"/>
        </w:rPr>
        <w:t>organizational change.</w:t>
      </w:r>
      <w:r w:rsidR="00131F26" w:rsidRPr="004000BB">
        <w:rPr>
          <w:rFonts w:cstheme="minorHAnsi"/>
          <w:sz w:val="24"/>
          <w:szCs w:val="24"/>
          <w:lang w:val="en-CA"/>
        </w:rPr>
        <w:t>”</w:t>
      </w:r>
      <w:r w:rsidRPr="004000BB">
        <w:rPr>
          <w:rFonts w:cstheme="minorHAnsi"/>
          <w:sz w:val="24"/>
          <w:szCs w:val="24"/>
          <w:lang w:val="en-CA"/>
        </w:rPr>
        <w:t> </w:t>
      </w:r>
      <w:r w:rsidRPr="004000BB">
        <w:rPr>
          <w:rFonts w:cstheme="minorHAnsi"/>
          <w:i/>
          <w:iCs/>
          <w:sz w:val="24"/>
          <w:szCs w:val="24"/>
          <w:lang w:val="en-CA"/>
        </w:rPr>
        <w:t>Leadership &amp; Organization Development Journal</w:t>
      </w:r>
      <w:r w:rsidRPr="004000BB">
        <w:rPr>
          <w:rFonts w:cstheme="minorHAnsi"/>
          <w:sz w:val="24"/>
          <w:szCs w:val="24"/>
          <w:lang w:val="en-CA"/>
        </w:rPr>
        <w:t>.</w:t>
      </w:r>
    </w:p>
    <w:p w14:paraId="4C48175B" w14:textId="77777777" w:rsidR="007016CD" w:rsidRDefault="00861F2A" w:rsidP="00861F2A">
      <w:pPr>
        <w:spacing w:after="0" w:line="240" w:lineRule="auto"/>
        <w:rPr>
          <w:rStyle w:val="doilink"/>
          <w:rFonts w:cstheme="minorHAnsi"/>
          <w:color w:val="333333"/>
          <w:sz w:val="24"/>
          <w:szCs w:val="24"/>
          <w:shd w:val="clear" w:color="auto" w:fill="FFFFFF"/>
        </w:rPr>
      </w:pPr>
      <w:r w:rsidRPr="004000BB">
        <w:rPr>
          <w:rStyle w:val="doilink"/>
          <w:rFonts w:cstheme="minorHAnsi"/>
          <w:color w:val="333333"/>
          <w:sz w:val="24"/>
          <w:szCs w:val="24"/>
          <w:shd w:val="clear" w:color="auto" w:fill="FFFFFF"/>
        </w:rPr>
        <w:t xml:space="preserve">Tarique, I., &amp; Schuler, R. (2010). </w:t>
      </w:r>
      <w:r w:rsidR="00131F26" w:rsidRPr="004000BB">
        <w:rPr>
          <w:rStyle w:val="doilink"/>
          <w:rFonts w:cstheme="minorHAnsi"/>
          <w:color w:val="333333"/>
          <w:sz w:val="24"/>
          <w:szCs w:val="24"/>
          <w:shd w:val="clear" w:color="auto" w:fill="FFFFFF"/>
        </w:rPr>
        <w:t>“</w:t>
      </w:r>
      <w:r w:rsidRPr="004000BB">
        <w:rPr>
          <w:rStyle w:val="doilink"/>
          <w:rFonts w:cstheme="minorHAnsi"/>
          <w:color w:val="333333"/>
          <w:sz w:val="24"/>
          <w:szCs w:val="24"/>
          <w:shd w:val="clear" w:color="auto" w:fill="FFFFFF"/>
        </w:rPr>
        <w:t>Global talent management: Literature review, integrative</w:t>
      </w:r>
    </w:p>
    <w:p w14:paraId="597BF5F3" w14:textId="3757AA73" w:rsidR="00641230" w:rsidRPr="004000BB" w:rsidRDefault="007016CD" w:rsidP="007016CD">
      <w:pPr>
        <w:spacing w:after="0" w:line="240" w:lineRule="auto"/>
        <w:ind w:left="720" w:firstLine="60"/>
        <w:rPr>
          <w:rFonts w:cstheme="minorHAnsi"/>
          <w:sz w:val="24"/>
          <w:szCs w:val="24"/>
        </w:rPr>
      </w:pPr>
      <w:r>
        <w:rPr>
          <w:rStyle w:val="doilink"/>
          <w:rFonts w:cstheme="minorHAnsi"/>
          <w:color w:val="333333"/>
          <w:sz w:val="24"/>
          <w:szCs w:val="24"/>
          <w:shd w:val="clear" w:color="auto" w:fill="FFFFFF"/>
        </w:rPr>
        <w:t>f</w:t>
      </w:r>
      <w:r w:rsidR="00861F2A" w:rsidRPr="004000BB">
        <w:rPr>
          <w:rStyle w:val="doilink"/>
          <w:rFonts w:cstheme="minorHAnsi"/>
          <w:color w:val="333333"/>
          <w:sz w:val="24"/>
          <w:szCs w:val="24"/>
          <w:shd w:val="clear" w:color="auto" w:fill="FFFFFF"/>
        </w:rPr>
        <w:t>ramework, and suggestions for further research</w:t>
      </w:r>
      <w:r w:rsidR="00131F26" w:rsidRPr="004000BB">
        <w:rPr>
          <w:rStyle w:val="doilink"/>
          <w:rFonts w:cstheme="minorHAnsi"/>
          <w:color w:val="333333"/>
          <w:sz w:val="24"/>
          <w:szCs w:val="24"/>
          <w:shd w:val="clear" w:color="auto" w:fill="FFFFFF"/>
        </w:rPr>
        <w:t xml:space="preserve">.” </w:t>
      </w:r>
      <w:r w:rsidR="00861F2A" w:rsidRPr="004000BB">
        <w:rPr>
          <w:rStyle w:val="doilink"/>
          <w:rFonts w:cstheme="minorHAnsi"/>
          <w:color w:val="333333"/>
          <w:sz w:val="24"/>
          <w:szCs w:val="24"/>
          <w:shd w:val="clear" w:color="auto" w:fill="FFFFFF"/>
        </w:rPr>
        <w:t xml:space="preserve"> </w:t>
      </w:r>
      <w:r w:rsidR="00861F2A" w:rsidRPr="004000BB">
        <w:rPr>
          <w:rStyle w:val="doilink"/>
          <w:rFonts w:cstheme="minorHAnsi"/>
          <w:i/>
          <w:color w:val="333333"/>
          <w:sz w:val="24"/>
          <w:szCs w:val="24"/>
          <w:shd w:val="clear" w:color="auto" w:fill="FFFFFF"/>
        </w:rPr>
        <w:t>Journal of World Business</w:t>
      </w:r>
      <w:r w:rsidR="00861F2A" w:rsidRPr="004000BB">
        <w:rPr>
          <w:rStyle w:val="doilink"/>
          <w:rFonts w:cstheme="minorHAnsi"/>
          <w:color w:val="333333"/>
          <w:sz w:val="24"/>
          <w:szCs w:val="24"/>
          <w:shd w:val="clear" w:color="auto" w:fill="FFFFFF"/>
        </w:rPr>
        <w:t xml:space="preserve">, 45:2, 122-133 DOI: </w:t>
      </w:r>
      <w:hyperlink r:id="rId15" w:tgtFrame="_blank" w:tooltip="Persistent link using digital object identifier" w:history="1">
        <w:r w:rsidR="00861F2A" w:rsidRPr="004000BB">
          <w:rPr>
            <w:rStyle w:val="Hyperlink"/>
            <w:rFonts w:cstheme="minorHAnsi"/>
            <w:color w:val="E9711C"/>
            <w:sz w:val="24"/>
            <w:szCs w:val="24"/>
          </w:rPr>
          <w:t>https://doi.org/10.1016/j.jwb.2009.09.019</w:t>
        </w:r>
      </w:hyperlink>
    </w:p>
    <w:sectPr w:rsidR="00641230" w:rsidRPr="004000B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D768" w14:textId="77777777" w:rsidR="00D15CB3" w:rsidRDefault="00D15CB3" w:rsidP="006D5EE8">
      <w:pPr>
        <w:spacing w:after="0" w:line="240" w:lineRule="auto"/>
      </w:pPr>
      <w:r>
        <w:separator/>
      </w:r>
    </w:p>
  </w:endnote>
  <w:endnote w:type="continuationSeparator" w:id="0">
    <w:p w14:paraId="1B706C56" w14:textId="77777777" w:rsidR="00D15CB3" w:rsidRDefault="00D15CB3" w:rsidP="006D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0499365"/>
      <w:docPartObj>
        <w:docPartGallery w:val="Page Numbers (Bottom of Page)"/>
        <w:docPartUnique/>
      </w:docPartObj>
    </w:sdtPr>
    <w:sdtEndPr>
      <w:rPr>
        <w:rStyle w:val="PageNumber"/>
      </w:rPr>
    </w:sdtEndPr>
    <w:sdtContent>
      <w:p w14:paraId="43F27CB5" w14:textId="47A02BA5" w:rsidR="006D5EE8" w:rsidRDefault="006D5EE8" w:rsidP="00E85D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6F3EF" w14:textId="77777777" w:rsidR="006D5EE8" w:rsidRDefault="006D5EE8" w:rsidP="006D5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4312555"/>
      <w:docPartObj>
        <w:docPartGallery w:val="Page Numbers (Bottom of Page)"/>
        <w:docPartUnique/>
      </w:docPartObj>
    </w:sdtPr>
    <w:sdtEndPr>
      <w:rPr>
        <w:rStyle w:val="PageNumber"/>
      </w:rPr>
    </w:sdtEndPr>
    <w:sdtContent>
      <w:p w14:paraId="60850AAD" w14:textId="2EEF3E54" w:rsidR="006D5EE8" w:rsidRDefault="006D5EE8" w:rsidP="00E85D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6D8401E" w14:textId="77777777" w:rsidR="006D5EE8" w:rsidRDefault="006D5EE8" w:rsidP="006D5E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9872" w14:textId="77777777" w:rsidR="00D15CB3" w:rsidRDefault="00D15CB3" w:rsidP="006D5EE8">
      <w:pPr>
        <w:spacing w:after="0" w:line="240" w:lineRule="auto"/>
      </w:pPr>
      <w:r>
        <w:separator/>
      </w:r>
    </w:p>
  </w:footnote>
  <w:footnote w:type="continuationSeparator" w:id="0">
    <w:p w14:paraId="62EAC8F0" w14:textId="77777777" w:rsidR="00D15CB3" w:rsidRDefault="00D15CB3" w:rsidP="006D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1EB"/>
    <w:multiLevelType w:val="hybridMultilevel"/>
    <w:tmpl w:val="6074D6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D94B33"/>
    <w:multiLevelType w:val="hybridMultilevel"/>
    <w:tmpl w:val="D6D67C5E"/>
    <w:lvl w:ilvl="0" w:tplc="2EE0CA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E6DCA"/>
    <w:multiLevelType w:val="hybridMultilevel"/>
    <w:tmpl w:val="3E9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D2985"/>
    <w:multiLevelType w:val="hybridMultilevel"/>
    <w:tmpl w:val="00E820AE"/>
    <w:lvl w:ilvl="0" w:tplc="F362ABEC">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2B78E7"/>
    <w:multiLevelType w:val="hybridMultilevel"/>
    <w:tmpl w:val="F24250AE"/>
    <w:lvl w:ilvl="0" w:tplc="BD8E97C4">
      <w:start w:val="1"/>
      <w:numFmt w:val="bullet"/>
      <w:lvlText w:val=""/>
      <w:lvlJc w:val="left"/>
      <w:pPr>
        <w:ind w:left="720" w:hanging="360"/>
      </w:pPr>
      <w:rPr>
        <w:rFonts w:ascii="Symbol" w:hAnsi="Symbol" w:hint="default"/>
      </w:rPr>
    </w:lvl>
    <w:lvl w:ilvl="1" w:tplc="AF7465A0">
      <w:start w:val="1"/>
      <w:numFmt w:val="bullet"/>
      <w:lvlText w:val="o"/>
      <w:lvlJc w:val="left"/>
      <w:pPr>
        <w:ind w:left="1440" w:hanging="360"/>
      </w:pPr>
      <w:rPr>
        <w:rFonts w:ascii="Courier New" w:hAnsi="Courier New" w:hint="default"/>
      </w:rPr>
    </w:lvl>
    <w:lvl w:ilvl="2" w:tplc="20DA9024">
      <w:start w:val="1"/>
      <w:numFmt w:val="bullet"/>
      <w:lvlText w:val=""/>
      <w:lvlJc w:val="left"/>
      <w:pPr>
        <w:ind w:left="2160" w:hanging="360"/>
      </w:pPr>
      <w:rPr>
        <w:rFonts w:ascii="Wingdings" w:hAnsi="Wingdings" w:hint="default"/>
      </w:rPr>
    </w:lvl>
    <w:lvl w:ilvl="3" w:tplc="4CD63C0E">
      <w:start w:val="1"/>
      <w:numFmt w:val="bullet"/>
      <w:lvlText w:val=""/>
      <w:lvlJc w:val="left"/>
      <w:pPr>
        <w:ind w:left="2880" w:hanging="360"/>
      </w:pPr>
      <w:rPr>
        <w:rFonts w:ascii="Symbol" w:hAnsi="Symbol" w:hint="default"/>
      </w:rPr>
    </w:lvl>
    <w:lvl w:ilvl="4" w:tplc="63121218">
      <w:start w:val="1"/>
      <w:numFmt w:val="bullet"/>
      <w:lvlText w:val="o"/>
      <w:lvlJc w:val="left"/>
      <w:pPr>
        <w:ind w:left="3600" w:hanging="360"/>
      </w:pPr>
      <w:rPr>
        <w:rFonts w:ascii="Courier New" w:hAnsi="Courier New" w:hint="default"/>
      </w:rPr>
    </w:lvl>
    <w:lvl w:ilvl="5" w:tplc="8676CB3A">
      <w:start w:val="1"/>
      <w:numFmt w:val="bullet"/>
      <w:lvlText w:val=""/>
      <w:lvlJc w:val="left"/>
      <w:pPr>
        <w:ind w:left="4320" w:hanging="360"/>
      </w:pPr>
      <w:rPr>
        <w:rFonts w:ascii="Wingdings" w:hAnsi="Wingdings" w:hint="default"/>
      </w:rPr>
    </w:lvl>
    <w:lvl w:ilvl="6" w:tplc="E60AC2FC">
      <w:start w:val="1"/>
      <w:numFmt w:val="bullet"/>
      <w:lvlText w:val=""/>
      <w:lvlJc w:val="left"/>
      <w:pPr>
        <w:ind w:left="5040" w:hanging="360"/>
      </w:pPr>
      <w:rPr>
        <w:rFonts w:ascii="Symbol" w:hAnsi="Symbol" w:hint="default"/>
      </w:rPr>
    </w:lvl>
    <w:lvl w:ilvl="7" w:tplc="D2A82710">
      <w:start w:val="1"/>
      <w:numFmt w:val="bullet"/>
      <w:lvlText w:val="o"/>
      <w:lvlJc w:val="left"/>
      <w:pPr>
        <w:ind w:left="5760" w:hanging="360"/>
      </w:pPr>
      <w:rPr>
        <w:rFonts w:ascii="Courier New" w:hAnsi="Courier New" w:hint="default"/>
      </w:rPr>
    </w:lvl>
    <w:lvl w:ilvl="8" w:tplc="16C4D32C">
      <w:start w:val="1"/>
      <w:numFmt w:val="bullet"/>
      <w:lvlText w:val=""/>
      <w:lvlJc w:val="left"/>
      <w:pPr>
        <w:ind w:left="6480" w:hanging="360"/>
      </w:pPr>
      <w:rPr>
        <w:rFonts w:ascii="Wingdings" w:hAnsi="Wingdings" w:hint="default"/>
      </w:rPr>
    </w:lvl>
  </w:abstractNum>
  <w:abstractNum w:abstractNumId="5" w15:restartNumberingAfterBreak="0">
    <w:nsid w:val="7526013B"/>
    <w:multiLevelType w:val="hybridMultilevel"/>
    <w:tmpl w:val="D42E7EC8"/>
    <w:lvl w:ilvl="0" w:tplc="2A72D644">
      <w:start w:val="1"/>
      <w:numFmt w:val="decimal"/>
      <w:lvlText w:val="%1."/>
      <w:lvlJc w:val="left"/>
      <w:pPr>
        <w:ind w:left="720" w:hanging="360"/>
      </w:pPr>
    </w:lvl>
    <w:lvl w:ilvl="1" w:tplc="9C96B8A4">
      <w:start w:val="1"/>
      <w:numFmt w:val="lowerLetter"/>
      <w:lvlText w:val="%2."/>
      <w:lvlJc w:val="left"/>
      <w:pPr>
        <w:ind w:left="1440" w:hanging="360"/>
      </w:pPr>
    </w:lvl>
    <w:lvl w:ilvl="2" w:tplc="EB166A00">
      <w:start w:val="1"/>
      <w:numFmt w:val="lowerRoman"/>
      <w:lvlText w:val="%3."/>
      <w:lvlJc w:val="right"/>
      <w:pPr>
        <w:ind w:left="2160" w:hanging="180"/>
      </w:pPr>
    </w:lvl>
    <w:lvl w:ilvl="3" w:tplc="14A095F8">
      <w:start w:val="1"/>
      <w:numFmt w:val="decimal"/>
      <w:lvlText w:val="%4."/>
      <w:lvlJc w:val="left"/>
      <w:pPr>
        <w:ind w:left="2880" w:hanging="360"/>
      </w:pPr>
    </w:lvl>
    <w:lvl w:ilvl="4" w:tplc="B262F402">
      <w:start w:val="1"/>
      <w:numFmt w:val="lowerLetter"/>
      <w:lvlText w:val="%5."/>
      <w:lvlJc w:val="left"/>
      <w:pPr>
        <w:ind w:left="3600" w:hanging="360"/>
      </w:pPr>
    </w:lvl>
    <w:lvl w:ilvl="5" w:tplc="72C44A28">
      <w:start w:val="1"/>
      <w:numFmt w:val="lowerRoman"/>
      <w:lvlText w:val="%6."/>
      <w:lvlJc w:val="right"/>
      <w:pPr>
        <w:ind w:left="4320" w:hanging="180"/>
      </w:pPr>
    </w:lvl>
    <w:lvl w:ilvl="6" w:tplc="3D5C6090">
      <w:start w:val="1"/>
      <w:numFmt w:val="decimal"/>
      <w:lvlText w:val="%7."/>
      <w:lvlJc w:val="left"/>
      <w:pPr>
        <w:ind w:left="5040" w:hanging="360"/>
      </w:pPr>
    </w:lvl>
    <w:lvl w:ilvl="7" w:tplc="F4B216CA">
      <w:start w:val="1"/>
      <w:numFmt w:val="lowerLetter"/>
      <w:lvlText w:val="%8."/>
      <w:lvlJc w:val="left"/>
      <w:pPr>
        <w:ind w:left="5760" w:hanging="360"/>
      </w:pPr>
    </w:lvl>
    <w:lvl w:ilvl="8" w:tplc="B1D48B02">
      <w:start w:val="1"/>
      <w:numFmt w:val="lowerRoman"/>
      <w:lvlText w:val="%9."/>
      <w:lvlJc w:val="right"/>
      <w:pPr>
        <w:ind w:left="6480" w:hanging="180"/>
      </w:pPr>
    </w:lvl>
  </w:abstractNum>
  <w:abstractNum w:abstractNumId="6" w15:restartNumberingAfterBreak="0">
    <w:nsid w:val="79FA3647"/>
    <w:multiLevelType w:val="hybridMultilevel"/>
    <w:tmpl w:val="7144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wMba0NDE0szQ2M7FQ0lEKTi0uzszPAykwrQUAaUIz7CwAAAA="/>
  </w:docVars>
  <w:rsids>
    <w:rsidRoot w:val="00FA4C98"/>
    <w:rsid w:val="00005AA3"/>
    <w:rsid w:val="00006D66"/>
    <w:rsid w:val="00060956"/>
    <w:rsid w:val="00070CD0"/>
    <w:rsid w:val="000D4F92"/>
    <w:rsid w:val="00131F26"/>
    <w:rsid w:val="00186698"/>
    <w:rsid w:val="001955A0"/>
    <w:rsid w:val="001A12C0"/>
    <w:rsid w:val="001A664C"/>
    <w:rsid w:val="001B69EA"/>
    <w:rsid w:val="001C02FA"/>
    <w:rsid w:val="001F2796"/>
    <w:rsid w:val="00202E9F"/>
    <w:rsid w:val="00231FB2"/>
    <w:rsid w:val="002822AC"/>
    <w:rsid w:val="00290BEC"/>
    <w:rsid w:val="002E2CC2"/>
    <w:rsid w:val="003647A8"/>
    <w:rsid w:val="003A5EFE"/>
    <w:rsid w:val="003B3C6B"/>
    <w:rsid w:val="003B3DAD"/>
    <w:rsid w:val="003B72CF"/>
    <w:rsid w:val="003F5D54"/>
    <w:rsid w:val="004000BB"/>
    <w:rsid w:val="00400446"/>
    <w:rsid w:val="00407F94"/>
    <w:rsid w:val="0042568F"/>
    <w:rsid w:val="00452873"/>
    <w:rsid w:val="00455FEB"/>
    <w:rsid w:val="0049048B"/>
    <w:rsid w:val="00580D75"/>
    <w:rsid w:val="005862B1"/>
    <w:rsid w:val="005C4DB4"/>
    <w:rsid w:val="005D0105"/>
    <w:rsid w:val="005E02F3"/>
    <w:rsid w:val="005F5067"/>
    <w:rsid w:val="006263FC"/>
    <w:rsid w:val="00635017"/>
    <w:rsid w:val="00641230"/>
    <w:rsid w:val="00653B5B"/>
    <w:rsid w:val="00673B53"/>
    <w:rsid w:val="00674314"/>
    <w:rsid w:val="006B16FA"/>
    <w:rsid w:val="006D5EE8"/>
    <w:rsid w:val="006F4084"/>
    <w:rsid w:val="007016CD"/>
    <w:rsid w:val="00704DCD"/>
    <w:rsid w:val="007106A3"/>
    <w:rsid w:val="007319EE"/>
    <w:rsid w:val="007841B6"/>
    <w:rsid w:val="007955AC"/>
    <w:rsid w:val="007B43B0"/>
    <w:rsid w:val="007B7585"/>
    <w:rsid w:val="007C663A"/>
    <w:rsid w:val="007D0D12"/>
    <w:rsid w:val="007D3BE0"/>
    <w:rsid w:val="007D4958"/>
    <w:rsid w:val="007D623A"/>
    <w:rsid w:val="007E337E"/>
    <w:rsid w:val="007F6B2E"/>
    <w:rsid w:val="00802403"/>
    <w:rsid w:val="00803712"/>
    <w:rsid w:val="00805815"/>
    <w:rsid w:val="008203FD"/>
    <w:rsid w:val="008303F4"/>
    <w:rsid w:val="00861F2A"/>
    <w:rsid w:val="00891CF7"/>
    <w:rsid w:val="008930A9"/>
    <w:rsid w:val="008A5B39"/>
    <w:rsid w:val="008D24A9"/>
    <w:rsid w:val="0090344C"/>
    <w:rsid w:val="009133C0"/>
    <w:rsid w:val="0093666B"/>
    <w:rsid w:val="00973A18"/>
    <w:rsid w:val="00974AEF"/>
    <w:rsid w:val="009E6062"/>
    <w:rsid w:val="009F5FAF"/>
    <w:rsid w:val="00A361C1"/>
    <w:rsid w:val="00A53ECE"/>
    <w:rsid w:val="00A61550"/>
    <w:rsid w:val="00A87560"/>
    <w:rsid w:val="00A905F6"/>
    <w:rsid w:val="00A96B58"/>
    <w:rsid w:val="00AA078D"/>
    <w:rsid w:val="00AA118B"/>
    <w:rsid w:val="00AA613B"/>
    <w:rsid w:val="00AF7413"/>
    <w:rsid w:val="00AF7EE5"/>
    <w:rsid w:val="00B149E7"/>
    <w:rsid w:val="00B2088A"/>
    <w:rsid w:val="00B53E8A"/>
    <w:rsid w:val="00B726B3"/>
    <w:rsid w:val="00B802A1"/>
    <w:rsid w:val="00BA3E3E"/>
    <w:rsid w:val="00BD1808"/>
    <w:rsid w:val="00C2726E"/>
    <w:rsid w:val="00C3703C"/>
    <w:rsid w:val="00C524E0"/>
    <w:rsid w:val="00C821DF"/>
    <w:rsid w:val="00C87209"/>
    <w:rsid w:val="00C9691C"/>
    <w:rsid w:val="00CE7F2D"/>
    <w:rsid w:val="00D15CB3"/>
    <w:rsid w:val="00D51459"/>
    <w:rsid w:val="00D542A1"/>
    <w:rsid w:val="00D54DC8"/>
    <w:rsid w:val="00D60A8B"/>
    <w:rsid w:val="00D80336"/>
    <w:rsid w:val="00D8106B"/>
    <w:rsid w:val="00DA2329"/>
    <w:rsid w:val="00DC3A5F"/>
    <w:rsid w:val="00DC64B5"/>
    <w:rsid w:val="00DE2992"/>
    <w:rsid w:val="00DE4854"/>
    <w:rsid w:val="00E136F5"/>
    <w:rsid w:val="00E151B7"/>
    <w:rsid w:val="00E278F5"/>
    <w:rsid w:val="00E31236"/>
    <w:rsid w:val="00E338D5"/>
    <w:rsid w:val="00E33FF7"/>
    <w:rsid w:val="00E4302D"/>
    <w:rsid w:val="00E657DA"/>
    <w:rsid w:val="00EB7C4B"/>
    <w:rsid w:val="00EC54E2"/>
    <w:rsid w:val="00F14233"/>
    <w:rsid w:val="00F20645"/>
    <w:rsid w:val="00F559C2"/>
    <w:rsid w:val="00F66CF3"/>
    <w:rsid w:val="00F72771"/>
    <w:rsid w:val="00F72C15"/>
    <w:rsid w:val="00F77DCC"/>
    <w:rsid w:val="00FA4C98"/>
    <w:rsid w:val="403E9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2E5"/>
  <w15:chartTrackingRefBased/>
  <w15:docId w15:val="{CCDA8483-BAF6-42F5-BEB7-A3195C06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653B5B"/>
    <w:rPr>
      <w:color w:val="605E5C"/>
      <w:shd w:val="clear" w:color="auto" w:fill="E1DFDD"/>
    </w:rPr>
  </w:style>
  <w:style w:type="paragraph" w:styleId="BalloonText">
    <w:name w:val="Balloon Text"/>
    <w:basedOn w:val="Normal"/>
    <w:link w:val="BalloonTextChar"/>
    <w:uiPriority w:val="99"/>
    <w:semiHidden/>
    <w:unhideWhenUsed/>
    <w:rsid w:val="0058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5"/>
    <w:rPr>
      <w:rFonts w:ascii="Segoe UI" w:hAnsi="Segoe UI" w:cs="Segoe UI"/>
      <w:sz w:val="18"/>
      <w:szCs w:val="18"/>
    </w:rPr>
  </w:style>
  <w:style w:type="paragraph" w:styleId="Revision">
    <w:name w:val="Revision"/>
    <w:hidden/>
    <w:uiPriority w:val="99"/>
    <w:semiHidden/>
    <w:rsid w:val="00580D75"/>
    <w:pPr>
      <w:spacing w:after="0" w:line="240" w:lineRule="auto"/>
    </w:pPr>
  </w:style>
  <w:style w:type="character" w:customStyle="1" w:styleId="nfakpe">
    <w:name w:val="nfakpe"/>
    <w:basedOn w:val="DefaultParagraphFont"/>
    <w:rsid w:val="00006D66"/>
  </w:style>
  <w:style w:type="paragraph" w:styleId="BodyText">
    <w:name w:val="Body Text"/>
    <w:basedOn w:val="Normal"/>
    <w:link w:val="BodyTextChar"/>
    <w:uiPriority w:val="1"/>
    <w:qFormat/>
    <w:rsid w:val="005F5067"/>
    <w:pPr>
      <w:widowControl w:val="0"/>
      <w:spacing w:after="0" w:line="240" w:lineRule="auto"/>
      <w:ind w:left="1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F506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822AC"/>
    <w:rPr>
      <w:color w:val="605E5C"/>
      <w:shd w:val="clear" w:color="auto" w:fill="E1DFDD"/>
    </w:rPr>
  </w:style>
  <w:style w:type="character" w:styleId="CommentReference">
    <w:name w:val="annotation reference"/>
    <w:basedOn w:val="DefaultParagraphFont"/>
    <w:uiPriority w:val="99"/>
    <w:semiHidden/>
    <w:unhideWhenUsed/>
    <w:rsid w:val="00F66CF3"/>
    <w:rPr>
      <w:sz w:val="16"/>
      <w:szCs w:val="16"/>
    </w:rPr>
  </w:style>
  <w:style w:type="paragraph" w:styleId="CommentText">
    <w:name w:val="annotation text"/>
    <w:basedOn w:val="Normal"/>
    <w:link w:val="CommentTextChar"/>
    <w:uiPriority w:val="99"/>
    <w:unhideWhenUsed/>
    <w:rsid w:val="00F66CF3"/>
    <w:pPr>
      <w:spacing w:line="240" w:lineRule="auto"/>
    </w:pPr>
    <w:rPr>
      <w:sz w:val="20"/>
      <w:szCs w:val="20"/>
    </w:rPr>
  </w:style>
  <w:style w:type="character" w:customStyle="1" w:styleId="CommentTextChar">
    <w:name w:val="Comment Text Char"/>
    <w:basedOn w:val="DefaultParagraphFont"/>
    <w:link w:val="CommentText"/>
    <w:uiPriority w:val="99"/>
    <w:rsid w:val="00F66CF3"/>
    <w:rPr>
      <w:sz w:val="20"/>
      <w:szCs w:val="20"/>
    </w:rPr>
  </w:style>
  <w:style w:type="paragraph" w:styleId="CommentSubject">
    <w:name w:val="annotation subject"/>
    <w:basedOn w:val="CommentText"/>
    <w:next w:val="CommentText"/>
    <w:link w:val="CommentSubjectChar"/>
    <w:uiPriority w:val="99"/>
    <w:semiHidden/>
    <w:unhideWhenUsed/>
    <w:rsid w:val="00F66CF3"/>
    <w:rPr>
      <w:b/>
      <w:bCs/>
    </w:rPr>
  </w:style>
  <w:style w:type="character" w:customStyle="1" w:styleId="CommentSubjectChar">
    <w:name w:val="Comment Subject Char"/>
    <w:basedOn w:val="CommentTextChar"/>
    <w:link w:val="CommentSubject"/>
    <w:uiPriority w:val="99"/>
    <w:semiHidden/>
    <w:rsid w:val="00F66CF3"/>
    <w:rPr>
      <w:b/>
      <w:bCs/>
      <w:sz w:val="20"/>
      <w:szCs w:val="20"/>
    </w:rPr>
  </w:style>
  <w:style w:type="character" w:styleId="UnresolvedMention">
    <w:name w:val="Unresolved Mention"/>
    <w:basedOn w:val="DefaultParagraphFont"/>
    <w:uiPriority w:val="99"/>
    <w:semiHidden/>
    <w:unhideWhenUsed/>
    <w:rsid w:val="003A5EFE"/>
    <w:rPr>
      <w:color w:val="605E5C"/>
      <w:shd w:val="clear" w:color="auto" w:fill="E1DFDD"/>
    </w:rPr>
  </w:style>
  <w:style w:type="character" w:customStyle="1" w:styleId="doilink">
    <w:name w:val="doi_link"/>
    <w:basedOn w:val="DefaultParagraphFont"/>
    <w:rsid w:val="00861F2A"/>
  </w:style>
  <w:style w:type="character" w:styleId="FollowedHyperlink">
    <w:name w:val="FollowedHyperlink"/>
    <w:basedOn w:val="DefaultParagraphFont"/>
    <w:uiPriority w:val="99"/>
    <w:semiHidden/>
    <w:unhideWhenUsed/>
    <w:rsid w:val="00861F2A"/>
    <w:rPr>
      <w:color w:val="954F72" w:themeColor="followedHyperlink"/>
      <w:u w:val="single"/>
    </w:rPr>
  </w:style>
  <w:style w:type="paragraph" w:styleId="Header">
    <w:name w:val="header"/>
    <w:basedOn w:val="Normal"/>
    <w:link w:val="HeaderChar"/>
    <w:uiPriority w:val="99"/>
    <w:unhideWhenUsed/>
    <w:rsid w:val="006D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E8"/>
  </w:style>
  <w:style w:type="paragraph" w:styleId="Footer">
    <w:name w:val="footer"/>
    <w:basedOn w:val="Normal"/>
    <w:link w:val="FooterChar"/>
    <w:uiPriority w:val="99"/>
    <w:unhideWhenUsed/>
    <w:rsid w:val="006D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E8"/>
  </w:style>
  <w:style w:type="character" w:styleId="PageNumber">
    <w:name w:val="page number"/>
    <w:basedOn w:val="DefaultParagraphFont"/>
    <w:uiPriority w:val="99"/>
    <w:semiHidden/>
    <w:unhideWhenUsed/>
    <w:rsid w:val="006D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cphee@brocku.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chloss@uwindsor.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16/j.jwb.2009.09.0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ndfonline.com/doi/full/10.1080/09585192.2019.1642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6926E2595B2439AAD64B95DD279C9" ma:contentTypeVersion="13" ma:contentTypeDescription="Create a new document." ma:contentTypeScope="" ma:versionID="148ed8c5a4919f7b0e715b4e262553e6">
  <xsd:schema xmlns:xsd="http://www.w3.org/2001/XMLSchema" xmlns:xs="http://www.w3.org/2001/XMLSchema" xmlns:p="http://schemas.microsoft.com/office/2006/metadata/properties" xmlns:ns3="8e02b3be-98f7-4f57-97e7-83e55d342b07" xmlns:ns4="050b51d1-7c43-4b62-a230-5e843b0cc11c" targetNamespace="http://schemas.microsoft.com/office/2006/metadata/properties" ma:root="true" ma:fieldsID="096b4c1cc983f0171a6a126cb79b6b3c" ns3:_="" ns4:_="">
    <xsd:import namespace="8e02b3be-98f7-4f57-97e7-83e55d342b07"/>
    <xsd:import namespace="050b51d1-7c43-4b62-a230-5e843b0cc1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2b3be-98f7-4f57-97e7-83e55d342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b51d1-7c43-4b62-a230-5e843b0cc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6A72-7BB8-4620-BEA8-0A63BCD15052}">
  <ds:schemaRefs>
    <ds:schemaRef ds:uri="http://schemas.microsoft.com/sharepoint/v3/contenttype/forms"/>
  </ds:schemaRefs>
</ds:datastoreItem>
</file>

<file path=customXml/itemProps2.xml><?xml version="1.0" encoding="utf-8"?>
<ds:datastoreItem xmlns:ds="http://schemas.openxmlformats.org/officeDocument/2006/customXml" ds:itemID="{2CB56EBC-2811-490C-AC2C-DEADB10471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CC253-4D00-D24B-8F15-6A1F516D038E}">
  <ds:schemaRefs>
    <ds:schemaRef ds:uri="http://schemas.openxmlformats.org/officeDocument/2006/bibliography"/>
  </ds:schemaRefs>
</ds:datastoreItem>
</file>

<file path=customXml/itemProps4.xml><?xml version="1.0" encoding="utf-8"?>
<ds:datastoreItem xmlns:ds="http://schemas.openxmlformats.org/officeDocument/2006/customXml" ds:itemID="{B34C66A6-4F5C-415F-ADC8-69109417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2b3be-98f7-4f57-97e7-83e55d342b07"/>
    <ds:schemaRef ds:uri="050b51d1-7c43-4b62-a230-5e843b0c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7113</Characters>
  <Application>Microsoft Office Word</Application>
  <DocSecurity>0</DocSecurity>
  <Lines>59</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Marino</dc:creator>
  <cp:keywords/>
  <dc:description/>
  <cp:lastModifiedBy>Deborah McPhee</cp:lastModifiedBy>
  <cp:revision>6</cp:revision>
  <dcterms:created xsi:type="dcterms:W3CDTF">2021-04-01T18:28:00Z</dcterms:created>
  <dcterms:modified xsi:type="dcterms:W3CDTF">2021-04-26T17:13:00Z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0x010100B306926E2595B2439AAD64B95DD279C9</vt:lpwstr>
  </property>
</Properties>
</file>